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ind w:right="-218" w:rightChars="-104"/>
        <w:jc w:val="center"/>
        <w:rPr>
          <w:rFonts w:hint="eastAsia" w:ascii="黑体" w:hAnsi="宋体" w:eastAsia="黑体"/>
          <w:bCs/>
          <w:szCs w:val="32"/>
        </w:rPr>
      </w:pPr>
      <w:r>
        <w:rPr>
          <w:rFonts w:hint="eastAsia" w:ascii="方正小标宋简体" w:eastAsia="方正小标宋简体"/>
          <w:sz w:val="44"/>
          <w:szCs w:val="44"/>
          <w:lang w:val="en-US" w:eastAsia="zh-CN"/>
        </w:rPr>
        <w:t>广西动力技工学校</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2</w:t>
      </w:r>
      <w:r>
        <w:rPr>
          <w:rFonts w:hint="eastAsia" w:ascii="方正小标宋简体" w:eastAsia="方正小标宋简体"/>
          <w:sz w:val="44"/>
          <w:szCs w:val="44"/>
        </w:rPr>
        <w:t>年部门预算公开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360" w:lineRule="atLeast"/>
        <w:ind w:left="525" w:right="525" w:firstLine="420"/>
        <w:jc w:val="center"/>
        <w:rPr>
          <w:rFonts w:hint="eastAsia" w:ascii="宋体" w:hAnsi="宋体" w:eastAsia="宋体" w:cs="宋体"/>
          <w:b/>
          <w:bCs/>
          <w:caps w:val="0"/>
          <w:color w:val="525353"/>
          <w:spacing w:val="0"/>
          <w:sz w:val="43"/>
          <w:szCs w:val="43"/>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360" w:lineRule="atLeast"/>
        <w:ind w:left="525" w:right="525" w:firstLine="420"/>
        <w:jc w:val="center"/>
        <w:rPr>
          <w:rFonts w:hint="eastAsia" w:ascii="方正小标宋简体" w:eastAsia="方正小标宋简体" w:hAnsiTheme="minorHAnsi" w:cstheme="minorBidi"/>
          <w:kern w:val="2"/>
          <w:sz w:val="44"/>
          <w:szCs w:val="44"/>
          <w:lang w:val="en-US" w:eastAsia="zh-CN" w:bidi="ar-SA"/>
        </w:rPr>
      </w:pPr>
      <w:r>
        <w:rPr>
          <w:rFonts w:hint="eastAsia" w:ascii="方正小标宋简体" w:eastAsia="方正小标宋简体" w:hAnsiTheme="minorHAnsi" w:cstheme="minorBidi"/>
          <w:kern w:val="2"/>
          <w:sz w:val="44"/>
          <w:szCs w:val="44"/>
          <w:lang w:val="en-US" w:eastAsia="zh-CN" w:bidi="ar-SA"/>
        </w:rPr>
        <w:t>目    录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643" w:firstLineChars="200"/>
        <w:jc w:val="left"/>
        <w:rPr>
          <w:rFonts w:hint="eastAsia" w:ascii="黑体" w:hAnsi="黑体" w:eastAsia="黑体" w:cstheme="minorBidi"/>
          <w:b/>
          <w:bCs/>
          <w:color w:val="000000"/>
          <w:kern w:val="2"/>
          <w:sz w:val="32"/>
          <w:szCs w:val="32"/>
          <w:u w:val="none"/>
          <w:lang w:val="en-US" w:eastAsia="zh-CN" w:bidi="ar-SA"/>
        </w:rPr>
      </w:pPr>
      <w:r>
        <w:rPr>
          <w:rFonts w:hint="eastAsia" w:ascii="黑体" w:hAnsi="黑体" w:eastAsia="黑体" w:cstheme="minorBidi"/>
          <w:b/>
          <w:bCs/>
          <w:color w:val="000000"/>
          <w:kern w:val="2"/>
          <w:sz w:val="32"/>
          <w:szCs w:val="32"/>
          <w:u w:val="none"/>
          <w:lang w:val="en-US" w:eastAsia="zh-CN" w:bidi="ar-SA"/>
        </w:rPr>
        <w:t>第一部分：广西动力技工学校概况</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一、</w:t>
      </w:r>
      <w:r>
        <w:rPr>
          <w:rFonts w:hint="eastAsia" w:ascii="楷体_GB2312" w:eastAsia="楷体_GB2312"/>
          <w:sz w:val="32"/>
          <w:szCs w:val="32"/>
          <w:lang w:val="en-US" w:eastAsia="zh-CN"/>
        </w:rPr>
        <w:t>部门</w:t>
      </w:r>
      <w:r>
        <w:rPr>
          <w:rFonts w:hint="eastAsia" w:ascii="楷体_GB2312" w:eastAsia="楷体_GB2312"/>
          <w:sz w:val="32"/>
          <w:szCs w:val="32"/>
        </w:rPr>
        <w:t>主要职能</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二、机构设置情况</w:t>
      </w:r>
    </w:p>
    <w:p>
      <w:pPr>
        <w:tabs>
          <w:tab w:val="center" w:pos="4475"/>
        </w:tabs>
        <w:snapToGrid w:val="0"/>
        <w:spacing w:line="590" w:lineRule="exact"/>
        <w:ind w:firstLine="645"/>
        <w:rPr>
          <w:rFonts w:hint="default" w:ascii="楷体_GB2312" w:eastAsia="楷体_GB2312"/>
          <w:sz w:val="32"/>
          <w:szCs w:val="32"/>
          <w:lang w:val="en-US" w:eastAsia="zh-CN"/>
        </w:rPr>
      </w:pPr>
      <w:r>
        <w:rPr>
          <w:rFonts w:hint="eastAsia" w:ascii="楷体_GB2312" w:eastAsia="楷体_GB2312"/>
          <w:sz w:val="32"/>
          <w:szCs w:val="32"/>
        </w:rPr>
        <w:t>三、人员构成情况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left="2244" w:leftChars="304" w:right="525" w:hanging="1606" w:hangingChars="500"/>
        <w:jc w:val="left"/>
        <w:rPr>
          <w:rFonts w:hint="eastAsia" w:ascii="黑体" w:hAnsi="黑体" w:eastAsia="黑体" w:cstheme="minorBidi"/>
          <w:b/>
          <w:bCs/>
          <w:color w:val="000000"/>
          <w:kern w:val="2"/>
          <w:sz w:val="32"/>
          <w:szCs w:val="32"/>
          <w:u w:val="none"/>
          <w:lang w:val="en-US" w:eastAsia="zh-CN" w:bidi="ar-SA"/>
        </w:rPr>
      </w:pPr>
      <w:r>
        <w:rPr>
          <w:rFonts w:hint="eastAsia" w:ascii="黑体" w:hAnsi="黑体" w:eastAsia="黑体" w:cstheme="minorBidi"/>
          <w:b/>
          <w:bCs/>
          <w:color w:val="000000"/>
          <w:kern w:val="2"/>
          <w:sz w:val="32"/>
          <w:szCs w:val="32"/>
          <w:u w:val="none"/>
          <w:lang w:val="en-US" w:eastAsia="zh-CN" w:bidi="ar-SA"/>
        </w:rPr>
        <w:t>第二部分：广西动力技工学校2022年度部门预算情况说明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643" w:firstLineChars="200"/>
        <w:jc w:val="left"/>
        <w:rPr>
          <w:rFonts w:hint="eastAsia" w:ascii="黑体" w:hAnsi="黑体" w:eastAsia="黑体" w:cstheme="minorBidi"/>
          <w:b/>
          <w:bCs/>
          <w:color w:val="000000"/>
          <w:kern w:val="2"/>
          <w:sz w:val="32"/>
          <w:szCs w:val="32"/>
          <w:u w:val="none"/>
          <w:lang w:val="en-US" w:eastAsia="zh-CN" w:bidi="ar-SA"/>
        </w:rPr>
      </w:pPr>
      <w:r>
        <w:rPr>
          <w:rFonts w:hint="eastAsia" w:ascii="黑体" w:hAnsi="黑体" w:eastAsia="黑体" w:cstheme="minorBidi"/>
          <w:b/>
          <w:bCs/>
          <w:color w:val="000000"/>
          <w:kern w:val="2"/>
          <w:sz w:val="32"/>
          <w:szCs w:val="32"/>
          <w:u w:val="none"/>
          <w:lang w:val="en-US" w:eastAsia="zh-CN" w:bidi="ar-SA"/>
        </w:rPr>
        <w:t>第三部分：</w:t>
      </w:r>
      <w:r>
        <w:rPr>
          <w:rFonts w:hint="eastAsia" w:ascii="黑体" w:eastAsia="黑体"/>
          <w:b/>
          <w:bCs/>
          <w:sz w:val="32"/>
          <w:szCs w:val="32"/>
        </w:rPr>
        <w:t>名词解释</w:t>
      </w:r>
    </w:p>
    <w:p>
      <w:pPr>
        <w:snapToGrid w:val="0"/>
        <w:spacing w:line="590" w:lineRule="exact"/>
        <w:ind w:firstLine="645"/>
        <w:rPr>
          <w:rFonts w:hint="eastAsia" w:ascii="黑体" w:hAnsi="黑体" w:eastAsia="黑体" w:cstheme="minorBidi"/>
          <w:b/>
          <w:bCs/>
          <w:color w:val="000000"/>
          <w:kern w:val="2"/>
          <w:sz w:val="32"/>
          <w:szCs w:val="32"/>
          <w:u w:val="none"/>
          <w:lang w:val="en-US" w:eastAsia="zh-CN" w:bidi="ar-SA"/>
        </w:rPr>
      </w:pPr>
      <w:r>
        <w:rPr>
          <w:rFonts w:hint="eastAsia" w:ascii="黑体" w:eastAsia="黑体"/>
          <w:b/>
          <w:bCs/>
          <w:sz w:val="32"/>
          <w:szCs w:val="32"/>
        </w:rPr>
        <w:t>第四部分：</w:t>
      </w:r>
      <w:r>
        <w:rPr>
          <w:rFonts w:hint="eastAsia" w:ascii="黑体" w:hAnsi="黑体" w:eastAsia="黑体" w:cstheme="minorBidi"/>
          <w:b/>
          <w:bCs/>
          <w:color w:val="000000"/>
          <w:kern w:val="2"/>
          <w:sz w:val="32"/>
          <w:szCs w:val="32"/>
          <w:u w:val="none"/>
          <w:lang w:val="en-US" w:eastAsia="zh-CN" w:bidi="ar-SA"/>
        </w:rPr>
        <w:t>广西动力技工学校 2022年部门预算报表（见附件）</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表一：</w:t>
      </w:r>
      <w:r>
        <w:rPr>
          <w:rFonts w:hint="eastAsia" w:ascii="楷体_GB2312" w:eastAsia="楷体_GB2312"/>
          <w:sz w:val="32"/>
          <w:szCs w:val="32"/>
          <w:lang w:val="en-US" w:eastAsia="zh-CN"/>
        </w:rPr>
        <w:t>部门</w:t>
      </w:r>
      <w:r>
        <w:rPr>
          <w:rFonts w:hint="eastAsia" w:ascii="楷体_GB2312" w:eastAsia="楷体_GB2312"/>
          <w:sz w:val="32"/>
          <w:szCs w:val="32"/>
        </w:rPr>
        <w:t>收支总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表二：</w:t>
      </w:r>
      <w:r>
        <w:rPr>
          <w:rFonts w:hint="eastAsia" w:ascii="楷体_GB2312" w:eastAsia="楷体_GB2312"/>
          <w:sz w:val="32"/>
          <w:szCs w:val="32"/>
          <w:lang w:val="en-US" w:eastAsia="zh-CN"/>
        </w:rPr>
        <w:t>部门</w:t>
      </w:r>
      <w:r>
        <w:rPr>
          <w:rFonts w:hint="eastAsia" w:ascii="楷体_GB2312" w:eastAsia="楷体_GB2312"/>
          <w:sz w:val="32"/>
          <w:szCs w:val="32"/>
        </w:rPr>
        <w:t>收</w:t>
      </w:r>
      <w:r>
        <w:rPr>
          <w:rFonts w:hint="eastAsia" w:ascii="楷体_GB2312" w:eastAsia="楷体_GB2312"/>
          <w:sz w:val="32"/>
          <w:szCs w:val="32"/>
          <w:lang w:val="en-US" w:eastAsia="zh-CN"/>
        </w:rPr>
        <w:t>入</w:t>
      </w:r>
      <w:r>
        <w:rPr>
          <w:rFonts w:hint="eastAsia" w:ascii="楷体_GB2312" w:eastAsia="楷体_GB2312"/>
          <w:sz w:val="32"/>
          <w:szCs w:val="32"/>
        </w:rPr>
        <w:t>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表三：</w:t>
      </w:r>
      <w:r>
        <w:rPr>
          <w:rFonts w:hint="eastAsia" w:ascii="楷体_GB2312" w:eastAsia="楷体_GB2312"/>
          <w:sz w:val="32"/>
          <w:szCs w:val="32"/>
          <w:lang w:val="en-US" w:eastAsia="zh-CN"/>
        </w:rPr>
        <w:t>部门支出</w:t>
      </w:r>
      <w:r>
        <w:rPr>
          <w:rFonts w:hint="eastAsia" w:ascii="楷体_GB2312" w:eastAsia="楷体_GB2312"/>
          <w:sz w:val="32"/>
          <w:szCs w:val="32"/>
        </w:rPr>
        <w:t>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表四：</w:t>
      </w:r>
      <w:r>
        <w:rPr>
          <w:rFonts w:hint="eastAsia" w:ascii="楷体_GB2312" w:eastAsia="楷体_GB2312"/>
          <w:sz w:val="32"/>
          <w:szCs w:val="32"/>
          <w:lang w:val="en-US" w:eastAsia="zh-CN"/>
        </w:rPr>
        <w:t>财政拨款收支总体情况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表五：一般公共预算支出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表六：一般公共预算</w:t>
      </w:r>
      <w:r>
        <w:rPr>
          <w:rFonts w:hint="eastAsia" w:ascii="楷体_GB2312" w:eastAsia="楷体_GB2312"/>
          <w:sz w:val="32"/>
          <w:szCs w:val="32"/>
          <w:lang w:val="en-US" w:eastAsia="zh-CN"/>
        </w:rPr>
        <w:t>基本</w:t>
      </w:r>
      <w:r>
        <w:rPr>
          <w:rFonts w:hint="eastAsia" w:ascii="楷体_GB2312" w:eastAsia="楷体_GB2312"/>
          <w:sz w:val="32"/>
          <w:szCs w:val="32"/>
        </w:rPr>
        <w:t>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表七：一般公共预算“三公”经费支出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黑体" w:eastAsia="黑体"/>
          <w:b/>
          <w:bCs/>
          <w:sz w:val="32"/>
          <w:szCs w:val="32"/>
        </w:rPr>
      </w:pPr>
      <w:r>
        <w:rPr>
          <w:rFonts w:hint="eastAsia" w:ascii="楷体_GB2312" w:eastAsia="楷体_GB2312"/>
          <w:sz w:val="32"/>
          <w:szCs w:val="32"/>
        </w:rPr>
        <w:t>表八：</w:t>
      </w:r>
      <w:r>
        <w:rPr>
          <w:rFonts w:hint="eastAsia" w:ascii="楷体_GB2312" w:eastAsia="楷体_GB2312"/>
          <w:sz w:val="32"/>
          <w:szCs w:val="32"/>
          <w:lang w:val="en-US" w:eastAsia="zh-CN"/>
        </w:rPr>
        <w:t>政府性基金预算支出情况</w:t>
      </w:r>
      <w:r>
        <w:rPr>
          <w:rFonts w:hint="eastAsia" w:ascii="楷体_GB2312" w:eastAsia="楷体_GB2312"/>
          <w:sz w:val="32"/>
          <w:szCs w:val="32"/>
        </w:rPr>
        <w:t>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jc w:val="left"/>
        <w:rPr>
          <w:rFonts w:hint="eastAsia" w:asciiTheme="majorEastAsia" w:hAnsiTheme="majorEastAsia" w:eastAsiaTheme="majorEastAsia" w:cstheme="majorEastAsia"/>
          <w:b/>
          <w:bCs/>
          <w:caps w:val="0"/>
          <w:color w:val="525353"/>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640" w:firstLineChars="200"/>
        <w:jc w:val="left"/>
        <w:rPr>
          <w:rFonts w:hint="eastAsia" w:ascii="黑体" w:eastAsia="黑体"/>
          <w:b w:val="0"/>
          <w:bCs/>
          <w:sz w:val="32"/>
          <w:szCs w:val="32"/>
          <w:lang w:val="en-US" w:eastAsia="zh-CN"/>
        </w:rPr>
      </w:pPr>
      <w:r>
        <w:rPr>
          <w:rFonts w:hint="eastAsia" w:ascii="黑体" w:eastAsia="黑体"/>
          <w:b w:val="0"/>
          <w:bCs/>
          <w:sz w:val="32"/>
          <w:szCs w:val="32"/>
          <w:lang w:val="en-US" w:eastAsia="zh-CN"/>
        </w:rPr>
        <w:t>第一部分：广西动力技工学校概况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562" w:firstLineChars="200"/>
        <w:jc w:val="left"/>
        <w:rPr>
          <w:rFonts w:hint="eastAsia" w:ascii="宋体" w:hAnsi="宋体" w:eastAsia="宋体" w:cs="宋体"/>
          <w:b/>
          <w:bCs/>
          <w:caps w:val="0"/>
          <w:color w:val="525353"/>
          <w:spacing w:val="0"/>
          <w:sz w:val="28"/>
          <w:szCs w:val="28"/>
          <w:shd w:val="clear" w:fill="FFFFFF"/>
        </w:rPr>
      </w:pPr>
      <w:r>
        <w:rPr>
          <w:rFonts w:hint="eastAsia" w:ascii="宋体" w:hAnsiTheme="minorHAnsi" w:eastAsiaTheme="minorEastAsia" w:cstheme="minorBidi"/>
          <w:b/>
          <w:bCs/>
          <w:color w:val="000000"/>
          <w:kern w:val="0"/>
          <w:sz w:val="28"/>
          <w:szCs w:val="28"/>
          <w:lang w:val="en-US" w:eastAsia="zh-CN" w:bidi="ar-SA"/>
        </w:rPr>
        <w:t>一、部门主要职能</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leftChars="200" w:right="525" w:rightChars="0" w:firstLine="560" w:firstLineChars="200"/>
        <w:jc w:val="left"/>
        <w:rPr>
          <w:rFonts w:hint="eastAsia" w:ascii="宋体"/>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广西动力技工学校创办于1980年，直属于广西应急管理厅，是一所以培养中级技能人才为主的全日制公办技工学校，学校招收应届、历届初中、高中毕业生，学制</w:t>
      </w:r>
      <w:r>
        <w:rPr>
          <w:rFonts w:hint="eastAsia" w:asciiTheme="minorEastAsia" w:hAnsiTheme="minorEastAsia" w:cstheme="minorEastAsia"/>
          <w:color w:val="auto"/>
          <w:kern w:val="0"/>
          <w:sz w:val="28"/>
          <w:szCs w:val="28"/>
          <w:lang w:val="en-US" w:eastAsia="zh-CN"/>
        </w:rPr>
        <w:t>为</w:t>
      </w:r>
      <w:r>
        <w:rPr>
          <w:rFonts w:hint="eastAsia" w:asciiTheme="minorEastAsia" w:hAnsiTheme="minorEastAsia" w:eastAsiaTheme="minorEastAsia" w:cstheme="minorEastAsia"/>
          <w:color w:val="auto"/>
          <w:kern w:val="0"/>
          <w:sz w:val="28"/>
          <w:szCs w:val="28"/>
          <w:lang w:val="en-US" w:eastAsia="zh-CN"/>
        </w:rPr>
        <w:t>三年。学校具有国家三级安全培训资质，具备对企业负责人、企业安全管理人员和电工、焊工、空调与制冷、高空作业等特殊工种作业人员进行培训的业务能力。</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leftChars="200" w:right="525" w:rightChars="0"/>
        <w:jc w:val="left"/>
        <w:rPr>
          <w:rFonts w:hint="eastAsia" w:ascii="宋体" w:hAnsiTheme="minorHAnsi" w:eastAsiaTheme="minorEastAsia" w:cstheme="minorBidi"/>
          <w:b/>
          <w:bCs/>
          <w:color w:val="000000"/>
          <w:kern w:val="0"/>
          <w:sz w:val="28"/>
          <w:szCs w:val="28"/>
          <w:lang w:val="en-US" w:eastAsia="zh-CN" w:bidi="ar-SA"/>
        </w:rPr>
      </w:pPr>
      <w:r>
        <w:rPr>
          <w:rFonts w:hint="eastAsia" w:ascii="宋体" w:hAnsiTheme="minorHAnsi" w:eastAsiaTheme="minorEastAsia" w:cstheme="minorBidi"/>
          <w:b/>
          <w:bCs/>
          <w:color w:val="000000"/>
          <w:kern w:val="0"/>
          <w:sz w:val="28"/>
          <w:szCs w:val="28"/>
          <w:lang w:val="en-US" w:eastAsia="zh-CN" w:bidi="ar-SA"/>
        </w:rPr>
        <w:t>二、机构设置情况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leftChars="200" w:right="525" w:rightChars="0" w:firstLine="560" w:firstLineChars="200"/>
        <w:jc w:val="left"/>
        <w:rPr>
          <w:rFonts w:hint="default"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学校职能部门设置有党政办公室、财务科、招</w:t>
      </w:r>
      <w:r>
        <w:rPr>
          <w:rFonts w:hint="eastAsia" w:asciiTheme="minorEastAsia" w:hAnsiTheme="minorEastAsia" w:cstheme="minorEastAsia"/>
          <w:color w:val="auto"/>
          <w:kern w:val="0"/>
          <w:sz w:val="28"/>
          <w:szCs w:val="28"/>
          <w:lang w:val="en-US" w:eastAsia="zh-CN"/>
        </w:rPr>
        <w:t>生与就业指导</w:t>
      </w:r>
      <w:r>
        <w:rPr>
          <w:rFonts w:hint="eastAsia" w:asciiTheme="minorEastAsia" w:hAnsiTheme="minorEastAsia" w:eastAsiaTheme="minorEastAsia" w:cstheme="minorEastAsia"/>
          <w:color w:val="auto"/>
          <w:kern w:val="0"/>
          <w:sz w:val="28"/>
          <w:szCs w:val="28"/>
          <w:lang w:val="en-US" w:eastAsia="zh-CN"/>
        </w:rPr>
        <w:t>办</w:t>
      </w:r>
      <w:r>
        <w:rPr>
          <w:rFonts w:hint="eastAsia" w:asciiTheme="minorEastAsia" w:hAnsiTheme="minorEastAsia" w:cstheme="minorEastAsia"/>
          <w:color w:val="auto"/>
          <w:kern w:val="0"/>
          <w:sz w:val="28"/>
          <w:szCs w:val="28"/>
          <w:lang w:val="en-US" w:eastAsia="zh-CN"/>
        </w:rPr>
        <w:t>公室</w:t>
      </w:r>
      <w:r>
        <w:rPr>
          <w:rFonts w:hint="eastAsia" w:asciiTheme="minorEastAsia" w:hAnsiTheme="minorEastAsia" w:eastAsiaTheme="minorEastAsia" w:cstheme="minorEastAsia"/>
          <w:color w:val="auto"/>
          <w:kern w:val="0"/>
          <w:sz w:val="28"/>
          <w:szCs w:val="28"/>
          <w:lang w:val="en-US" w:eastAsia="zh-CN"/>
        </w:rPr>
        <w:t>、教务科、学生科、总务科、信心中心</w:t>
      </w:r>
      <w:r>
        <w:rPr>
          <w:rFonts w:hint="eastAsia" w:asciiTheme="minorEastAsia" w:hAnsiTheme="minorEastAsia" w:cstheme="minorEastAsia"/>
          <w:color w:val="auto"/>
          <w:kern w:val="0"/>
          <w:sz w:val="28"/>
          <w:szCs w:val="28"/>
          <w:lang w:val="en-US" w:eastAsia="zh-CN"/>
        </w:rPr>
        <w:t>、</w:t>
      </w:r>
      <w:r>
        <w:rPr>
          <w:rFonts w:hint="eastAsia" w:asciiTheme="minorEastAsia" w:hAnsiTheme="minorEastAsia" w:eastAsiaTheme="minorEastAsia" w:cstheme="minorEastAsia"/>
          <w:color w:val="auto"/>
          <w:kern w:val="0"/>
          <w:sz w:val="28"/>
          <w:szCs w:val="28"/>
          <w:lang w:val="en-US" w:eastAsia="zh-CN"/>
        </w:rPr>
        <w:t>纪检监察室</w:t>
      </w:r>
      <w:r>
        <w:rPr>
          <w:rFonts w:hint="eastAsia" w:asciiTheme="minorEastAsia" w:hAnsiTheme="minorEastAsia" w:cstheme="minorEastAsia"/>
          <w:color w:val="auto"/>
          <w:kern w:val="0"/>
          <w:sz w:val="28"/>
          <w:szCs w:val="28"/>
          <w:lang w:val="en-US" w:eastAsia="zh-CN"/>
        </w:rPr>
        <w:t>八</w:t>
      </w:r>
      <w:r>
        <w:rPr>
          <w:rFonts w:hint="eastAsia" w:asciiTheme="minorEastAsia" w:hAnsiTheme="minorEastAsia" w:eastAsiaTheme="minorEastAsia" w:cstheme="minorEastAsia"/>
          <w:color w:val="auto"/>
          <w:kern w:val="0"/>
          <w:sz w:val="28"/>
          <w:szCs w:val="28"/>
          <w:lang w:val="en-US" w:eastAsia="zh-CN"/>
        </w:rPr>
        <w:t>个部门。党政办公室科室主要负责检查学校综合工作计划的执行情况，协调各部门的关系，负责人事管理工作和对外接待工作等；财务科负责学校财务各项工作；招生与就业指导办公室负责学校招生、学生顶岗实习安排、学生就业指导和就业推荐安置、开展相关培训业务等工作；教务科负责组织各专业组制定各专业、各年级的实施性教学计划、教学大纲和教学规章制度</w:t>
      </w:r>
      <w:r>
        <w:rPr>
          <w:rFonts w:hint="eastAsia" w:asciiTheme="minorEastAsia" w:hAnsiTheme="minorEastAsia" w:cstheme="minorEastAsia"/>
          <w:color w:val="auto"/>
          <w:kern w:val="0"/>
          <w:sz w:val="28"/>
          <w:szCs w:val="28"/>
          <w:lang w:val="en-US" w:eastAsia="zh-CN"/>
        </w:rPr>
        <w:t>工作</w:t>
      </w:r>
      <w:r>
        <w:rPr>
          <w:rFonts w:hint="eastAsia" w:asciiTheme="minorEastAsia" w:hAnsiTheme="minorEastAsia" w:eastAsiaTheme="minorEastAsia" w:cstheme="minorEastAsia"/>
          <w:color w:val="auto"/>
          <w:kern w:val="0"/>
          <w:sz w:val="28"/>
          <w:szCs w:val="28"/>
          <w:lang w:val="en-US" w:eastAsia="zh-CN"/>
        </w:rPr>
        <w:t>；学生科负责做好学生日常管理和学校安全保卫工作；总务科负责各项后勤服务工作；信息中心负责校园网建设及对外宣传、弱电电话网络及信息系统的规划、建设、管理、服务及校内办公电脑，教学机房日常维护、多媒体教室管理等工作。纪检监察室</w:t>
      </w:r>
      <w:r>
        <w:rPr>
          <w:rFonts w:hint="eastAsia" w:asciiTheme="minorEastAsia" w:hAnsiTheme="minorEastAsia" w:cstheme="minorEastAsia"/>
          <w:color w:val="auto"/>
          <w:kern w:val="0"/>
          <w:sz w:val="28"/>
          <w:szCs w:val="28"/>
          <w:lang w:val="en-US" w:eastAsia="zh-CN"/>
        </w:rPr>
        <w:t>负责学校工作纪律监察、职工政治思想监督、职工廉洁奉公的督查工作。</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rightChars="0"/>
        <w:jc w:val="left"/>
        <w:rPr>
          <w:rFonts w:hint="eastAsia" w:ascii="宋体" w:hAnsiTheme="minorHAnsi" w:eastAsiaTheme="minorEastAsia" w:cstheme="minorBidi"/>
          <w:b/>
          <w:bCs/>
          <w:color w:val="000000"/>
          <w:kern w:val="0"/>
          <w:sz w:val="28"/>
          <w:szCs w:val="28"/>
          <w:lang w:val="en-US" w:eastAsia="zh-CN" w:bidi="ar-SA"/>
        </w:rPr>
      </w:pPr>
      <w:r>
        <w:rPr>
          <w:rFonts w:hint="eastAsia" w:ascii="宋体" w:cstheme="minorBidi"/>
          <w:b/>
          <w:bCs/>
          <w:color w:val="000000"/>
          <w:kern w:val="0"/>
          <w:sz w:val="28"/>
          <w:szCs w:val="28"/>
          <w:lang w:val="en-US" w:eastAsia="zh-CN" w:bidi="ar-SA"/>
        </w:rPr>
        <w:t>三、</w:t>
      </w:r>
      <w:r>
        <w:rPr>
          <w:rFonts w:hint="eastAsia" w:ascii="宋体" w:hAnsiTheme="minorHAnsi" w:eastAsiaTheme="minorEastAsia" w:cstheme="minorBidi"/>
          <w:b/>
          <w:bCs/>
          <w:color w:val="000000"/>
          <w:kern w:val="0"/>
          <w:sz w:val="28"/>
          <w:szCs w:val="28"/>
          <w:lang w:val="en-US" w:eastAsia="zh-CN" w:bidi="ar-SA"/>
        </w:rPr>
        <w:t>人员构成情况</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学校定编57人。现有在职在编人员42人，其中：教师37人，占88.5％，行政管理人员4人，占9.5％,工勤1人，占2％。聘用司机、外聘专职教师等8人，临时工3人，退休人员42人，占全部职工42人的100％，现有在校生913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640" w:firstLineChars="200"/>
        <w:jc w:val="left"/>
        <w:rPr>
          <w:rFonts w:hint="eastAsia" w:ascii="黑体" w:eastAsia="黑体"/>
          <w:b w:val="0"/>
          <w:bCs/>
          <w:sz w:val="32"/>
          <w:szCs w:val="32"/>
          <w:lang w:eastAsia="zh-CN"/>
        </w:rPr>
      </w:pPr>
      <w:r>
        <w:rPr>
          <w:rFonts w:hint="eastAsia" w:ascii="黑体" w:eastAsia="黑体"/>
          <w:b w:val="0"/>
          <w:bCs/>
          <w:sz w:val="32"/>
          <w:szCs w:val="32"/>
        </w:rPr>
        <w:t>第二部分：广西动力技工学校20</w:t>
      </w:r>
      <w:r>
        <w:rPr>
          <w:rFonts w:hint="eastAsia" w:ascii="黑体" w:eastAsia="黑体"/>
          <w:b w:val="0"/>
          <w:bCs/>
          <w:sz w:val="32"/>
          <w:szCs w:val="32"/>
          <w:lang w:val="en-US" w:eastAsia="zh-CN"/>
        </w:rPr>
        <w:t>22</w:t>
      </w:r>
      <w:r>
        <w:rPr>
          <w:rFonts w:hint="eastAsia" w:ascii="黑体" w:eastAsia="黑体"/>
          <w:b w:val="0"/>
          <w:bCs/>
          <w:sz w:val="32"/>
          <w:szCs w:val="32"/>
        </w:rPr>
        <w:t>年度部门</w:t>
      </w:r>
      <w:r>
        <w:rPr>
          <w:rFonts w:hint="eastAsia" w:ascii="黑体" w:eastAsia="黑体"/>
          <w:b w:val="0"/>
          <w:bCs/>
          <w:sz w:val="32"/>
          <w:szCs w:val="32"/>
          <w:lang w:val="en-US" w:eastAsia="zh-CN"/>
        </w:rPr>
        <w:t>预算</w:t>
      </w:r>
      <w:r>
        <w:rPr>
          <w:rFonts w:hint="eastAsia" w:ascii="黑体" w:eastAsia="黑体"/>
          <w:b w:val="0"/>
          <w:bCs/>
          <w:sz w:val="32"/>
          <w:szCs w:val="32"/>
        </w:rPr>
        <w:t>情况说明</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根据上级指示精神，结合我校事业发展的需要，我们编制了广西动力技工学校2022年预算。现将预算编制的有关事项说明如下：</w:t>
      </w:r>
    </w:p>
    <w:p>
      <w:pPr>
        <w:numPr>
          <w:ilvl w:val="0"/>
          <w:numId w:val="0"/>
        </w:numPr>
        <w:autoSpaceDE w:val="0"/>
        <w:autoSpaceDN w:val="0"/>
        <w:adjustRightInd w:val="0"/>
        <w:spacing w:line="433" w:lineRule="atLeast"/>
        <w:jc w:val="left"/>
        <w:rPr>
          <w:rFonts w:hint="eastAsia" w:ascii="宋体" w:hAnsiTheme="minorHAnsi" w:eastAsiaTheme="minorEastAsia" w:cstheme="minorBidi"/>
          <w:b/>
          <w:bCs/>
          <w:color w:val="000000"/>
          <w:kern w:val="0"/>
          <w:sz w:val="28"/>
          <w:szCs w:val="28"/>
          <w:lang w:val="en-US" w:eastAsia="zh-CN" w:bidi="ar-SA"/>
        </w:rPr>
      </w:pPr>
      <w:r>
        <w:rPr>
          <w:rFonts w:hint="eastAsia" w:ascii="宋体" w:cstheme="minorBidi"/>
          <w:b/>
          <w:bCs/>
          <w:color w:val="000000"/>
          <w:kern w:val="0"/>
          <w:sz w:val="28"/>
          <w:szCs w:val="28"/>
          <w:lang w:val="en-US" w:eastAsia="zh-CN" w:bidi="ar-SA"/>
        </w:rPr>
        <w:t>一、</w:t>
      </w:r>
      <w:r>
        <w:rPr>
          <w:rFonts w:hint="eastAsia" w:ascii="宋体" w:hAnsiTheme="minorHAnsi" w:eastAsiaTheme="minorEastAsia" w:cstheme="minorBidi"/>
          <w:b/>
          <w:bCs/>
          <w:color w:val="000000"/>
          <w:kern w:val="0"/>
          <w:sz w:val="28"/>
          <w:szCs w:val="28"/>
          <w:lang w:val="en-US" w:eastAsia="zh-CN" w:bidi="ar-SA"/>
        </w:rPr>
        <w:t>部门收支总体情况</w:t>
      </w:r>
      <w:r>
        <w:rPr>
          <w:rFonts w:hint="eastAsia" w:ascii="宋体" w:cstheme="minorBidi"/>
          <w:b/>
          <w:bCs/>
          <w:color w:val="000000"/>
          <w:kern w:val="0"/>
          <w:sz w:val="28"/>
          <w:szCs w:val="28"/>
          <w:lang w:val="en-US" w:eastAsia="zh-CN" w:bidi="ar-SA"/>
        </w:rPr>
        <w:t>、</w:t>
      </w:r>
      <w:r>
        <w:rPr>
          <w:rFonts w:hint="eastAsia" w:ascii="宋体" w:hAnsiTheme="minorHAnsi" w:eastAsiaTheme="minorEastAsia" w:cstheme="minorBidi"/>
          <w:b/>
          <w:bCs/>
          <w:color w:val="000000"/>
          <w:kern w:val="0"/>
          <w:sz w:val="28"/>
          <w:szCs w:val="28"/>
          <w:lang w:val="en-US" w:eastAsia="zh-CN" w:bidi="ar-SA"/>
        </w:rPr>
        <w:t>增减变化情况说明：</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2022年收入预算1149.81万元，比2021年的收入预算1060.77万元增加89.04万元，增加8.39%。其中：一般公共预算拨款1065.68万元，比2021年的一般公共预算拨款978.19万元增加87.49万元，增8.95</w:t>
      </w:r>
      <w:r>
        <w:rPr>
          <w:rFonts w:hint="eastAsia" w:asciiTheme="minorEastAsia" w:hAnsiTheme="minorEastAsia" w:cstheme="minorEastAsia"/>
          <w:color w:val="auto"/>
          <w:kern w:val="0"/>
          <w:sz w:val="28"/>
          <w:szCs w:val="28"/>
          <w:lang w:val="en-US" w:eastAsia="zh-CN" w:bidi="ar"/>
        </w:rPr>
        <w:t xml:space="preserve"> </w:t>
      </w:r>
      <w:r>
        <w:rPr>
          <w:rFonts w:hint="eastAsia" w:asciiTheme="minorEastAsia" w:hAnsiTheme="minorEastAsia" w:eastAsiaTheme="minorEastAsia" w:cstheme="minorEastAsia"/>
          <w:color w:val="auto"/>
          <w:kern w:val="0"/>
          <w:sz w:val="28"/>
          <w:szCs w:val="28"/>
          <w:lang w:val="en-US" w:eastAsia="zh-CN" w:bidi="ar"/>
        </w:rPr>
        <w:t>%。财政专户管理资金收入预算84.13万元，比2021年财政专户管理资金收入预算82.58万元增加1.55万元，增加1.88%。</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2022年支出总预算1149.81万元，比2021年的支出预算1060.77万元增加89.04万元，增加8.39%。按支出功能分类划分，共分为四类：</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1.技校教育支出1073.58万元，占支出总预算93.37%。比2021年的支出预算978.79万元增加94.79万元，增加9.68%。增加原因为学生人数增加，经费拨款增加。</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2.社会保障和就业支出42.15万元，占支出总预算3.67%。比2021年的支出预算45.33万元减少3.18万元，减少7.02%。减少原因为在职人员减少。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3.卫生健康支出13万元，占支出总预算1.13%。比2021年的支出预算13.98万元减少0.98万元，减少7.01%。减少原因为在职人员减少。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bidi="ar"/>
        </w:rPr>
        <w:t>4.住房保障支出21.08万元，占支出总预算1.83%。比2021年的支出预算22.67万元减少1.59万元，减少7.01%。减少原因为在职人员减少。</w:t>
      </w:r>
    </w:p>
    <w:p>
      <w:pPr>
        <w:numPr>
          <w:ilvl w:val="0"/>
          <w:numId w:val="0"/>
        </w:numPr>
        <w:autoSpaceDE w:val="0"/>
        <w:autoSpaceDN w:val="0"/>
        <w:adjustRightInd w:val="0"/>
        <w:spacing w:line="433" w:lineRule="atLeast"/>
        <w:jc w:val="left"/>
        <w:rPr>
          <w:rFonts w:hint="eastAsia" w:ascii="宋体" w:hAnsiTheme="minorHAnsi" w:eastAsiaTheme="minorEastAsia" w:cstheme="minorBidi"/>
          <w:b/>
          <w:bCs/>
          <w:color w:val="000000"/>
          <w:kern w:val="0"/>
          <w:sz w:val="28"/>
          <w:szCs w:val="28"/>
          <w:lang w:val="en-US" w:eastAsia="zh-CN" w:bidi="ar-SA"/>
        </w:rPr>
      </w:pPr>
      <w:r>
        <w:rPr>
          <w:rFonts w:hint="eastAsia" w:ascii="宋体" w:cstheme="minorBidi"/>
          <w:b/>
          <w:bCs/>
          <w:color w:val="000000"/>
          <w:kern w:val="0"/>
          <w:sz w:val="28"/>
          <w:szCs w:val="28"/>
          <w:lang w:val="en-US" w:eastAsia="zh-CN" w:bidi="ar-SA"/>
        </w:rPr>
        <w:t>二、</w:t>
      </w:r>
      <w:r>
        <w:rPr>
          <w:rFonts w:hint="eastAsia" w:ascii="宋体" w:hAnsiTheme="minorHAnsi" w:eastAsiaTheme="minorEastAsia" w:cstheme="minorBidi"/>
          <w:b/>
          <w:bCs/>
          <w:color w:val="000000"/>
          <w:kern w:val="0"/>
          <w:sz w:val="28"/>
          <w:szCs w:val="28"/>
          <w:lang w:val="en-US" w:eastAsia="zh-CN" w:bidi="ar-SA"/>
        </w:rPr>
        <w:t>部门收入总体情况说明</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2022年收入预算1149.81万元，比2021年的收入预算1060.77万元增加89.04万元，增加8.39%。其中：一般公共预算拨款1065.68万元，比2021年的一般公共预算拨款978.19万元增加87.49万元，增加8.95%。财政专户管理资金收入预算84.13万元，比2021年财政专户管理资金收入预算82.58万元增加1.55万元，增加1.88%。</w:t>
      </w:r>
    </w:p>
    <w:p>
      <w:pPr>
        <w:numPr>
          <w:ilvl w:val="0"/>
          <w:numId w:val="0"/>
        </w:numPr>
        <w:autoSpaceDE w:val="0"/>
        <w:autoSpaceDN w:val="0"/>
        <w:adjustRightInd w:val="0"/>
        <w:spacing w:line="433" w:lineRule="atLeast"/>
        <w:jc w:val="left"/>
        <w:rPr>
          <w:rFonts w:hint="eastAsia" w:ascii="宋体" w:hAnsiTheme="minorHAnsi" w:eastAsiaTheme="minorEastAsia" w:cstheme="minorBidi"/>
          <w:b/>
          <w:bCs/>
          <w:color w:val="000000"/>
          <w:kern w:val="0"/>
          <w:sz w:val="28"/>
          <w:szCs w:val="28"/>
          <w:lang w:val="en-US" w:eastAsia="zh-CN" w:bidi="ar-SA"/>
        </w:rPr>
      </w:pPr>
      <w:r>
        <w:rPr>
          <w:rFonts w:hint="eastAsia" w:ascii="宋体" w:cstheme="minorBidi"/>
          <w:b/>
          <w:bCs/>
          <w:color w:val="000000"/>
          <w:kern w:val="0"/>
          <w:sz w:val="28"/>
          <w:szCs w:val="28"/>
          <w:lang w:val="en-US" w:eastAsia="zh-CN" w:bidi="ar-SA"/>
        </w:rPr>
        <w:t>三、</w:t>
      </w:r>
      <w:r>
        <w:rPr>
          <w:rFonts w:hint="eastAsia" w:ascii="宋体" w:hAnsiTheme="minorHAnsi" w:eastAsiaTheme="minorEastAsia" w:cstheme="minorBidi"/>
          <w:b/>
          <w:bCs/>
          <w:color w:val="000000"/>
          <w:kern w:val="0"/>
          <w:sz w:val="28"/>
          <w:szCs w:val="28"/>
          <w:lang w:val="en-US" w:eastAsia="zh-CN" w:bidi="ar-SA"/>
        </w:rPr>
        <w:t>部门支出总体情况说明</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(一) 2022年支出总预算1149.81万元，按支出功能分类划分为：</w:t>
      </w:r>
    </w:p>
    <w:p>
      <w:pPr>
        <w:autoSpaceDE w:val="0"/>
        <w:autoSpaceDN w:val="0"/>
        <w:adjustRightInd w:val="0"/>
        <w:spacing w:line="433" w:lineRule="atLeast"/>
        <w:ind w:firstLine="560" w:firstLineChars="200"/>
        <w:jc w:val="left"/>
        <w:rPr>
          <w:rFonts w:hint="default"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1.技校教育支出1073.58万元，比2021年的支出预算978.79万元增加94.79万元，增加9.68%。增加原因为学生人数增加，经费拨款增加。</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2.机关事业单位基本养老保险缴费支出28.1万元，比2021年的支出预算30.22万元减少2.12万元，减少7.02%。减少原因为在职人员减少。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3.机关事业单位职业年金缴费支出14.05万元，比2021年的支出预算15.11万元减少1.06万元，减少7.02%。减少原因为在职人员减少。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4</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事业单位医疗保险支出13万元，占支出总预算1.13%。比2021年的支出预算13.98万元减少0.98万元，减少7.01%。减少原因为在职人员减少。</w:t>
      </w:r>
    </w:p>
    <w:p>
      <w:pPr>
        <w:autoSpaceDE w:val="0"/>
        <w:autoSpaceDN w:val="0"/>
        <w:adjustRightInd w:val="0"/>
        <w:spacing w:line="433" w:lineRule="atLeast"/>
        <w:ind w:firstLine="560" w:firstLineChars="200"/>
        <w:jc w:val="left"/>
        <w:rPr>
          <w:rFonts w:hint="default"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5</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住房公积金支出21.08万元，比2021年的支出预算22.67万元减少1.59万元，减少7.01%。减少原因为在职人员减少。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（二）2022年基本支出总预算555.3元，按支出功能分类划分，共分为五类，其中：</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1.技校教育支出479.07万元，比2021年的支出预算494.52万元减少15.45万元，减少3.12%。</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2.机关事业单位基本养老保险缴费支出28.1万元，比2021年的支出预算30.22万元减少2.12万元，减少7.02%。减少原因为在职人员减少。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auto"/>
          <w:kern w:val="0"/>
          <w:sz w:val="28"/>
          <w:szCs w:val="28"/>
          <w:lang w:val="en-US" w:eastAsia="zh-CN" w:bidi="ar"/>
        </w:rPr>
      </w:pPr>
      <w:r>
        <w:rPr>
          <w:rFonts w:hint="eastAsia" w:asciiTheme="minorEastAsia" w:hAnsiTheme="minorEastAsia" w:eastAsiaTheme="minorEastAsia" w:cstheme="minorEastAsia"/>
          <w:color w:val="auto"/>
          <w:kern w:val="0"/>
          <w:sz w:val="28"/>
          <w:szCs w:val="28"/>
          <w:lang w:val="en-US" w:eastAsia="zh-CN" w:bidi="ar"/>
        </w:rPr>
        <w:t>3.机关事业单位职业年金缴费支出14.05万元，比2021年的支出预算15.11万元减少1.06万元，减少7.02%。减少原因为在职人员减少。</w:t>
      </w:r>
    </w:p>
    <w:p>
      <w:pPr>
        <w:autoSpaceDE w:val="0"/>
        <w:autoSpaceDN w:val="0"/>
        <w:adjustRightInd w:val="0"/>
        <w:spacing w:line="433" w:lineRule="atLeast"/>
        <w:ind w:firstLine="560" w:firstLineChars="200"/>
        <w:jc w:val="left"/>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auto"/>
          <w:kern w:val="0"/>
          <w:sz w:val="28"/>
          <w:szCs w:val="28"/>
          <w:lang w:val="en-US" w:eastAsia="zh-CN" w:bidi="ar"/>
        </w:rPr>
        <w:t>4.事业单位医疗保险支出13万元，占支出总预算1.13%。比2021</w:t>
      </w:r>
      <w:r>
        <w:rPr>
          <w:rFonts w:hint="eastAsia" w:asciiTheme="minorEastAsia" w:hAnsiTheme="minorEastAsia" w:eastAsiaTheme="minorEastAsia" w:cstheme="minorEastAsia"/>
          <w:color w:val="000000"/>
          <w:kern w:val="0"/>
          <w:sz w:val="28"/>
          <w:szCs w:val="28"/>
        </w:rPr>
        <w:t>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13.98万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减少0.98万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减少7.01</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eastAsiaTheme="minorEastAsia" w:cstheme="minorEastAsia"/>
          <w:color w:val="000000"/>
          <w:kern w:val="0"/>
          <w:sz w:val="28"/>
          <w:szCs w:val="28"/>
          <w:lang w:val="en-US" w:eastAsia="zh-CN"/>
        </w:rPr>
        <w:t>减少原因</w:t>
      </w:r>
      <w:r>
        <w:rPr>
          <w:rFonts w:hint="eastAsia" w:asciiTheme="minorEastAsia" w:hAnsiTheme="minorEastAsia" w:cstheme="minorEastAsia"/>
          <w:color w:val="000000"/>
          <w:kern w:val="0"/>
          <w:sz w:val="28"/>
          <w:szCs w:val="28"/>
          <w:lang w:val="en-US" w:eastAsia="zh-CN"/>
        </w:rPr>
        <w:t>为</w:t>
      </w:r>
      <w:r>
        <w:rPr>
          <w:rFonts w:hint="eastAsia" w:asciiTheme="minorEastAsia" w:hAnsiTheme="minorEastAsia" w:eastAsiaTheme="minorEastAsia" w:cstheme="minorEastAsia"/>
          <w:color w:val="000000"/>
          <w:kern w:val="0"/>
          <w:sz w:val="28"/>
          <w:szCs w:val="28"/>
          <w:lang w:val="en-US" w:eastAsia="zh-CN"/>
        </w:rPr>
        <w:t>在职人员减少。</w:t>
      </w:r>
    </w:p>
    <w:p>
      <w:pPr>
        <w:numPr>
          <w:ilvl w:val="0"/>
          <w:numId w:val="0"/>
        </w:numPr>
        <w:autoSpaceDE w:val="0"/>
        <w:autoSpaceDN w:val="0"/>
        <w:adjustRightInd w:val="0"/>
        <w:spacing w:line="433" w:lineRule="atLeast"/>
        <w:ind w:leftChars="100" w:firstLine="560" w:firstLineChars="200"/>
        <w:jc w:val="left"/>
        <w:rPr>
          <w:rFonts w:hint="default"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5</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住房公积金支出21</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0</w:t>
      </w:r>
      <w:r>
        <w:rPr>
          <w:rFonts w:hint="eastAsia" w:asciiTheme="minorEastAsia" w:hAnsiTheme="minorEastAsia" w:eastAsiaTheme="minorEastAsia" w:cstheme="minorEastAsia"/>
          <w:color w:val="000000"/>
          <w:kern w:val="0"/>
          <w:sz w:val="28"/>
          <w:szCs w:val="28"/>
          <w:lang w:val="en-US" w:eastAsia="zh-CN"/>
        </w:rPr>
        <w:t>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22.67万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减少1.59万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减少7.01</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eastAsiaTheme="minorEastAsia" w:cstheme="minorEastAsia"/>
          <w:color w:val="000000"/>
          <w:kern w:val="0"/>
          <w:sz w:val="28"/>
          <w:szCs w:val="28"/>
          <w:lang w:val="en-US" w:eastAsia="zh-CN"/>
        </w:rPr>
        <w:t>减少原因</w:t>
      </w:r>
      <w:r>
        <w:rPr>
          <w:rFonts w:hint="eastAsia" w:asciiTheme="minorEastAsia" w:hAnsiTheme="minorEastAsia" w:cstheme="minorEastAsia"/>
          <w:color w:val="000000"/>
          <w:kern w:val="0"/>
          <w:sz w:val="28"/>
          <w:szCs w:val="28"/>
          <w:lang w:val="en-US" w:eastAsia="zh-CN"/>
        </w:rPr>
        <w:t>为</w:t>
      </w:r>
      <w:r>
        <w:rPr>
          <w:rFonts w:hint="eastAsia" w:asciiTheme="minorEastAsia" w:hAnsiTheme="minorEastAsia" w:eastAsiaTheme="minorEastAsia" w:cstheme="minorEastAsia"/>
          <w:color w:val="000000"/>
          <w:kern w:val="0"/>
          <w:sz w:val="28"/>
          <w:szCs w:val="28"/>
          <w:lang w:val="en-US" w:eastAsia="zh-CN"/>
        </w:rPr>
        <w:t>在职人员减少。</w:t>
      </w:r>
    </w:p>
    <w:p>
      <w:pPr>
        <w:numPr>
          <w:ilvl w:val="0"/>
          <w:numId w:val="0"/>
        </w:numPr>
        <w:autoSpaceDE w:val="0"/>
        <w:autoSpaceDN w:val="0"/>
        <w:adjustRightInd w:val="0"/>
        <w:spacing w:line="433" w:lineRule="atLeast"/>
        <w:ind w:firstLine="560" w:firstLineChars="200"/>
        <w:jc w:val="left"/>
        <w:rPr>
          <w:rFonts w:hint="default"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三</w:t>
      </w:r>
      <w:r>
        <w:rPr>
          <w:rFonts w:hint="eastAsia" w:asciiTheme="minorEastAsia" w:hAnsiTheme="minorEastAsia" w:eastAsia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rPr>
        <w:t>2022年</w:t>
      </w:r>
      <w:r>
        <w:rPr>
          <w:rFonts w:hint="eastAsia" w:asciiTheme="minorEastAsia" w:hAnsiTheme="minorEastAsia" w:eastAsiaTheme="minorEastAsia" w:cstheme="minorEastAsia"/>
          <w:color w:val="000000"/>
          <w:kern w:val="0"/>
          <w:sz w:val="28"/>
          <w:szCs w:val="28"/>
          <w:lang w:val="en-US" w:eastAsia="zh-CN"/>
        </w:rPr>
        <w:t>项目</w:t>
      </w:r>
      <w:r>
        <w:rPr>
          <w:rFonts w:hint="eastAsia" w:asciiTheme="minorEastAsia" w:hAnsiTheme="minorEastAsia" w:eastAsiaTheme="minorEastAsia" w:cstheme="minorEastAsia"/>
          <w:color w:val="000000"/>
          <w:kern w:val="0"/>
          <w:sz w:val="28"/>
          <w:szCs w:val="28"/>
        </w:rPr>
        <w:t>支出总预算</w:t>
      </w:r>
      <w:r>
        <w:rPr>
          <w:rFonts w:hint="eastAsia" w:asciiTheme="minorEastAsia" w:hAnsiTheme="minorEastAsia" w:eastAsiaTheme="minorEastAsia" w:cstheme="minorEastAsia"/>
          <w:color w:val="000000"/>
          <w:kern w:val="0"/>
          <w:sz w:val="28"/>
          <w:szCs w:val="28"/>
          <w:lang w:val="en-US" w:eastAsia="zh-CN"/>
        </w:rPr>
        <w:t>594.51万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484.27万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增加110.24万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增加22.76</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cstheme="minorEastAsia"/>
          <w:color w:val="000000"/>
          <w:kern w:val="0"/>
          <w:sz w:val="28"/>
          <w:szCs w:val="28"/>
          <w:lang w:val="en-US" w:eastAsia="zh-CN"/>
        </w:rPr>
        <w:t>增加原因为学生人数增加，经费拨款增加。</w:t>
      </w:r>
    </w:p>
    <w:p>
      <w:pPr>
        <w:numPr>
          <w:ilvl w:val="0"/>
          <w:numId w:val="0"/>
        </w:numPr>
        <w:tabs>
          <w:tab w:val="center" w:pos="4475"/>
        </w:tabs>
        <w:spacing w:line="600" w:lineRule="exact"/>
        <w:rPr>
          <w:rFonts w:hint="eastAsia" w:ascii="黑体" w:eastAsia="黑体"/>
          <w:sz w:val="28"/>
          <w:szCs w:val="28"/>
        </w:rPr>
      </w:pPr>
      <w:r>
        <w:rPr>
          <w:rFonts w:hint="eastAsia" w:ascii="宋体" w:cstheme="minorBidi"/>
          <w:b/>
          <w:bCs/>
          <w:color w:val="000000"/>
          <w:kern w:val="0"/>
          <w:sz w:val="28"/>
          <w:szCs w:val="28"/>
          <w:lang w:val="en-US" w:eastAsia="zh-CN" w:bidi="ar-SA"/>
        </w:rPr>
        <w:t>四、</w:t>
      </w:r>
      <w:r>
        <w:rPr>
          <w:rFonts w:hint="eastAsia" w:ascii="宋体" w:hAnsiTheme="minorHAnsi" w:eastAsiaTheme="minorEastAsia" w:cstheme="minorBidi"/>
          <w:b/>
          <w:bCs/>
          <w:color w:val="000000"/>
          <w:kern w:val="0"/>
          <w:sz w:val="28"/>
          <w:szCs w:val="28"/>
          <w:lang w:val="en-US" w:eastAsia="zh-CN" w:bidi="ar-SA"/>
        </w:rPr>
        <w:t>财政拨款收支总体情况说明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lang w:val="en-US" w:eastAsia="zh-CN"/>
        </w:rPr>
        <w:t>2022年财政拨款收入</w:t>
      </w:r>
      <w:r>
        <w:rPr>
          <w:rFonts w:hint="eastAsia" w:asciiTheme="minorEastAsia" w:hAnsiTheme="minorEastAsia" w:eastAsiaTheme="minorEastAsia" w:cstheme="minorEastAsia"/>
          <w:color w:val="000000"/>
          <w:kern w:val="0"/>
          <w:sz w:val="28"/>
          <w:szCs w:val="28"/>
        </w:rPr>
        <w:t>1065</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6</w:t>
      </w:r>
      <w:r>
        <w:rPr>
          <w:rFonts w:hint="eastAsia" w:asciiTheme="minorEastAsia" w:hAnsiTheme="minorEastAsia" w:eastAsiaTheme="minorEastAsia" w:cstheme="minorEastAsia"/>
          <w:color w:val="000000"/>
          <w:kern w:val="0"/>
          <w:sz w:val="28"/>
          <w:szCs w:val="28"/>
          <w:lang w:val="en-US" w:eastAsia="zh-CN"/>
        </w:rPr>
        <w:t>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一般公共预算拨款</w:t>
      </w:r>
      <w:r>
        <w:rPr>
          <w:rFonts w:hint="eastAsia" w:asciiTheme="minorEastAsia" w:hAnsiTheme="minorEastAsia" w:eastAsiaTheme="minorEastAsia" w:cstheme="minorEastAsia"/>
          <w:color w:val="000000"/>
          <w:kern w:val="0"/>
          <w:sz w:val="28"/>
          <w:szCs w:val="28"/>
        </w:rPr>
        <w:t>1065</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6</w:t>
      </w:r>
      <w:r>
        <w:rPr>
          <w:rFonts w:hint="eastAsia" w:asciiTheme="minorEastAsia" w:hAnsiTheme="minorEastAsia" w:eastAsiaTheme="minorEastAsia" w:cstheme="minorEastAsia"/>
          <w:color w:val="000000"/>
          <w:kern w:val="0"/>
          <w:sz w:val="28"/>
          <w:szCs w:val="28"/>
          <w:lang w:val="en-US" w:eastAsia="zh-CN"/>
        </w:rPr>
        <w:t>8万</w:t>
      </w:r>
      <w:r>
        <w:rPr>
          <w:rFonts w:hint="eastAsia" w:asciiTheme="minorEastAsia" w:hAnsiTheme="minorEastAsia" w:eastAsiaTheme="minorEastAsia" w:cstheme="minorEastAsia"/>
          <w:color w:val="000000"/>
          <w:kern w:val="0"/>
          <w:sz w:val="28"/>
          <w:szCs w:val="28"/>
        </w:rPr>
        <w:t>元，比2021年的</w:t>
      </w:r>
      <w:r>
        <w:rPr>
          <w:rFonts w:hint="eastAsia" w:asciiTheme="minorEastAsia" w:hAnsiTheme="minorEastAsia" w:eastAsiaTheme="minorEastAsia" w:cstheme="minorEastAsia"/>
          <w:color w:val="000000"/>
          <w:kern w:val="0"/>
          <w:sz w:val="28"/>
          <w:szCs w:val="28"/>
          <w:lang w:val="en-US" w:eastAsia="zh-CN"/>
        </w:rPr>
        <w:t>一般公共预算拨款</w:t>
      </w:r>
      <w:r>
        <w:rPr>
          <w:rFonts w:hint="eastAsia" w:asciiTheme="minorEastAsia" w:hAnsiTheme="minorEastAsia" w:eastAsiaTheme="minorEastAsia" w:cstheme="minorEastAsia"/>
          <w:color w:val="000000"/>
          <w:kern w:val="0"/>
          <w:sz w:val="28"/>
          <w:szCs w:val="28"/>
        </w:rPr>
        <w:t>978</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19</w:t>
      </w:r>
      <w:r>
        <w:rPr>
          <w:rFonts w:hint="eastAsia" w:asciiTheme="minorEastAsia" w:hAnsiTheme="minorEastAsia" w:eastAsiaTheme="minorEastAsia" w:cstheme="minorEastAsia"/>
          <w:color w:val="000000"/>
          <w:kern w:val="0"/>
          <w:sz w:val="28"/>
          <w:szCs w:val="28"/>
          <w:lang w:val="en-US" w:eastAsia="zh-CN"/>
        </w:rPr>
        <w:t>万</w:t>
      </w:r>
      <w:r>
        <w:rPr>
          <w:rFonts w:hint="eastAsia" w:asciiTheme="minorEastAsia" w:hAnsiTheme="minorEastAsia" w:eastAsiaTheme="minorEastAsia" w:cstheme="minorEastAsia"/>
          <w:color w:val="000000"/>
          <w:kern w:val="0"/>
          <w:sz w:val="28"/>
          <w:szCs w:val="28"/>
        </w:rPr>
        <w:t>元增加87</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4</w:t>
      </w:r>
      <w:r>
        <w:rPr>
          <w:rFonts w:hint="eastAsia" w:asciiTheme="minorEastAsia" w:hAnsiTheme="minorEastAsia" w:eastAsiaTheme="minorEastAsia" w:cstheme="minorEastAsia"/>
          <w:color w:val="000000"/>
          <w:kern w:val="0"/>
          <w:sz w:val="28"/>
          <w:szCs w:val="28"/>
          <w:lang w:val="en-US" w:eastAsia="zh-CN"/>
        </w:rPr>
        <w:t>9万</w:t>
      </w:r>
      <w:r>
        <w:rPr>
          <w:rFonts w:hint="eastAsia" w:asciiTheme="minorEastAsia" w:hAnsiTheme="minorEastAsia" w:eastAsiaTheme="minorEastAsia" w:cstheme="minorEastAsia"/>
          <w:color w:val="000000"/>
          <w:kern w:val="0"/>
          <w:sz w:val="28"/>
          <w:szCs w:val="28"/>
        </w:rPr>
        <w:t>元，增加8.95%。</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lang w:val="en-US" w:eastAsia="zh-CN"/>
        </w:rPr>
        <w:t>2022年财政拨款支出</w:t>
      </w:r>
      <w:r>
        <w:rPr>
          <w:rFonts w:hint="eastAsia" w:asciiTheme="minorEastAsia" w:hAnsiTheme="minorEastAsia" w:eastAsiaTheme="minorEastAsia" w:cstheme="minorEastAsia"/>
          <w:color w:val="000000"/>
          <w:kern w:val="0"/>
          <w:sz w:val="28"/>
          <w:szCs w:val="28"/>
        </w:rPr>
        <w:t>1065</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6</w:t>
      </w:r>
      <w:r>
        <w:rPr>
          <w:rFonts w:hint="eastAsia" w:asciiTheme="minorEastAsia" w:hAnsiTheme="minorEastAsia" w:eastAsiaTheme="minorEastAsia" w:cstheme="minorEastAsia"/>
          <w:color w:val="000000"/>
          <w:kern w:val="0"/>
          <w:sz w:val="28"/>
          <w:szCs w:val="28"/>
          <w:lang w:val="en-US" w:eastAsia="zh-CN"/>
        </w:rPr>
        <w:t>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一般公共预算拨款</w:t>
      </w:r>
      <w:r>
        <w:rPr>
          <w:rFonts w:hint="eastAsia" w:asciiTheme="minorEastAsia" w:hAnsiTheme="minorEastAsia" w:eastAsiaTheme="minorEastAsia" w:cstheme="minorEastAsia"/>
          <w:color w:val="000000"/>
          <w:kern w:val="0"/>
          <w:sz w:val="28"/>
          <w:szCs w:val="28"/>
        </w:rPr>
        <w:t>1065</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6</w:t>
      </w:r>
      <w:r>
        <w:rPr>
          <w:rFonts w:hint="eastAsia" w:asciiTheme="minorEastAsia" w:hAnsiTheme="minorEastAsia" w:eastAsiaTheme="minorEastAsia" w:cstheme="minorEastAsia"/>
          <w:color w:val="000000"/>
          <w:kern w:val="0"/>
          <w:sz w:val="28"/>
          <w:szCs w:val="28"/>
          <w:lang w:val="en-US" w:eastAsia="zh-CN"/>
        </w:rPr>
        <w:t>8万</w:t>
      </w:r>
      <w:r>
        <w:rPr>
          <w:rFonts w:hint="eastAsia" w:asciiTheme="minorEastAsia" w:hAnsiTheme="minorEastAsia" w:eastAsiaTheme="minorEastAsia" w:cstheme="minorEastAsia"/>
          <w:color w:val="000000"/>
          <w:kern w:val="0"/>
          <w:sz w:val="28"/>
          <w:szCs w:val="28"/>
        </w:rPr>
        <w:t>元，比2021年的</w:t>
      </w:r>
      <w:r>
        <w:rPr>
          <w:rFonts w:hint="eastAsia" w:asciiTheme="minorEastAsia" w:hAnsiTheme="minorEastAsia" w:eastAsiaTheme="minorEastAsia" w:cstheme="minorEastAsia"/>
          <w:color w:val="000000"/>
          <w:kern w:val="0"/>
          <w:sz w:val="28"/>
          <w:szCs w:val="28"/>
          <w:lang w:val="en-US" w:eastAsia="zh-CN"/>
        </w:rPr>
        <w:t>一般公共预算拨款</w:t>
      </w:r>
      <w:r>
        <w:rPr>
          <w:rFonts w:hint="eastAsia" w:asciiTheme="minorEastAsia" w:hAnsiTheme="minorEastAsia" w:eastAsiaTheme="minorEastAsia" w:cstheme="minorEastAsia"/>
          <w:color w:val="000000"/>
          <w:kern w:val="0"/>
          <w:sz w:val="28"/>
          <w:szCs w:val="28"/>
        </w:rPr>
        <w:t>978</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19</w:t>
      </w:r>
      <w:r>
        <w:rPr>
          <w:rFonts w:hint="eastAsia" w:asciiTheme="minorEastAsia" w:hAnsiTheme="minorEastAsia" w:eastAsiaTheme="minorEastAsia" w:cstheme="minorEastAsia"/>
          <w:color w:val="000000"/>
          <w:kern w:val="0"/>
          <w:sz w:val="28"/>
          <w:szCs w:val="28"/>
          <w:lang w:val="en-US" w:eastAsia="zh-CN"/>
        </w:rPr>
        <w:t>万</w:t>
      </w:r>
      <w:r>
        <w:rPr>
          <w:rFonts w:hint="eastAsia" w:asciiTheme="minorEastAsia" w:hAnsiTheme="minorEastAsia" w:eastAsiaTheme="minorEastAsia" w:cstheme="minorEastAsia"/>
          <w:color w:val="000000"/>
          <w:kern w:val="0"/>
          <w:sz w:val="28"/>
          <w:szCs w:val="28"/>
        </w:rPr>
        <w:t>元增加87</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4</w:t>
      </w:r>
      <w:r>
        <w:rPr>
          <w:rFonts w:hint="eastAsia" w:asciiTheme="minorEastAsia" w:hAnsiTheme="minorEastAsia" w:eastAsiaTheme="minorEastAsia" w:cstheme="minorEastAsia"/>
          <w:color w:val="000000"/>
          <w:kern w:val="0"/>
          <w:sz w:val="28"/>
          <w:szCs w:val="28"/>
          <w:lang w:val="en-US" w:eastAsia="zh-CN"/>
        </w:rPr>
        <w:t>9万</w:t>
      </w:r>
      <w:r>
        <w:rPr>
          <w:rFonts w:hint="eastAsia" w:asciiTheme="minorEastAsia" w:hAnsiTheme="minorEastAsia" w:eastAsiaTheme="minorEastAsia" w:cstheme="minorEastAsia"/>
          <w:color w:val="000000"/>
          <w:kern w:val="0"/>
          <w:sz w:val="28"/>
          <w:szCs w:val="28"/>
        </w:rPr>
        <w:t>元，增加8.95%。按支出功能分类划分，共分为四类，其中：</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rPr>
        <w:t>1</w:t>
      </w:r>
      <w:r>
        <w:rPr>
          <w:rFonts w:hint="eastAsia" w:asciiTheme="minorEastAsia" w:hAnsi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rPr>
        <w:t>技校教育支出10</w:t>
      </w:r>
      <w:r>
        <w:rPr>
          <w:rFonts w:hint="eastAsia" w:asciiTheme="minorEastAsia" w:hAnsiTheme="minorEastAsia" w:eastAsiaTheme="minorEastAsia" w:cstheme="minorEastAsia"/>
          <w:color w:val="000000"/>
          <w:kern w:val="0"/>
          <w:sz w:val="28"/>
          <w:szCs w:val="28"/>
          <w:lang w:val="en-US" w:eastAsia="zh-CN"/>
        </w:rPr>
        <w:t>0</w:t>
      </w:r>
      <w:r>
        <w:rPr>
          <w:rFonts w:hint="eastAsia" w:asciiTheme="minorEastAsia" w:hAnsiTheme="minorEastAsia" w:eastAsiaTheme="minorEastAsia" w:cstheme="minorEastAsia"/>
          <w:color w:val="000000"/>
          <w:kern w:val="0"/>
          <w:sz w:val="28"/>
          <w:szCs w:val="28"/>
        </w:rPr>
        <w:t>3</w:t>
      </w:r>
      <w:r>
        <w:rPr>
          <w:rFonts w:hint="eastAsia" w:asciiTheme="minorEastAsia" w:hAnsiTheme="minorEastAsia" w:eastAsia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rPr>
        <w:t>5</w:t>
      </w:r>
      <w:r>
        <w:rPr>
          <w:rFonts w:hint="eastAsia" w:asciiTheme="minorEastAsia" w:hAnsiTheme="minorEastAsia" w:eastAsiaTheme="minorEastAsia" w:cstheme="minorEastAsia"/>
          <w:color w:val="000000"/>
          <w:kern w:val="0"/>
          <w:sz w:val="28"/>
          <w:szCs w:val="28"/>
          <w:lang w:val="en-US" w:eastAsia="zh-CN"/>
        </w:rPr>
        <w:t>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911.32万</w:t>
      </w:r>
      <w:r>
        <w:rPr>
          <w:rFonts w:hint="eastAsia" w:asciiTheme="minorEastAsia" w:hAnsiTheme="minorEastAsia" w:eastAsiaTheme="minorEastAsia" w:cstheme="minorEastAsia"/>
          <w:color w:val="000000"/>
          <w:kern w:val="0"/>
          <w:sz w:val="28"/>
          <w:szCs w:val="28"/>
        </w:rPr>
        <w:t>元增加</w:t>
      </w:r>
      <w:r>
        <w:rPr>
          <w:rFonts w:hint="eastAsia" w:asciiTheme="minorEastAsia" w:hAnsiTheme="minorEastAsia" w:eastAsiaTheme="minorEastAsia" w:cstheme="minorEastAsia"/>
          <w:color w:val="000000"/>
          <w:kern w:val="0"/>
          <w:sz w:val="28"/>
          <w:szCs w:val="28"/>
          <w:lang w:val="en-US" w:eastAsia="zh-CN"/>
        </w:rPr>
        <w:t>92.18万</w:t>
      </w:r>
      <w:r>
        <w:rPr>
          <w:rFonts w:hint="eastAsia" w:asciiTheme="minorEastAsia" w:hAnsiTheme="minorEastAsia" w:eastAsiaTheme="minorEastAsia" w:cstheme="minorEastAsia"/>
          <w:color w:val="000000"/>
          <w:kern w:val="0"/>
          <w:sz w:val="28"/>
          <w:szCs w:val="28"/>
        </w:rPr>
        <w:t>元，增加</w:t>
      </w:r>
      <w:r>
        <w:rPr>
          <w:rFonts w:hint="eastAsia" w:asciiTheme="minorEastAsia" w:hAnsiTheme="minorEastAsia" w:eastAsiaTheme="minorEastAsia" w:cstheme="minorEastAsia"/>
          <w:color w:val="000000"/>
          <w:kern w:val="0"/>
          <w:sz w:val="28"/>
          <w:szCs w:val="28"/>
          <w:lang w:val="en-US" w:eastAsia="zh-CN"/>
        </w:rPr>
        <w:t>10.11</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eastAsiaTheme="minorEastAsia" w:cstheme="minorEastAsia"/>
          <w:color w:val="000000"/>
          <w:kern w:val="0"/>
          <w:sz w:val="28"/>
          <w:szCs w:val="28"/>
          <w:lang w:val="en-US" w:eastAsia="zh-CN"/>
        </w:rPr>
        <w:t>增加原因</w:t>
      </w:r>
      <w:r>
        <w:rPr>
          <w:rFonts w:hint="eastAsia" w:asciiTheme="minorEastAsia" w:hAnsiTheme="minorEastAsia" w:cstheme="minorEastAsia"/>
          <w:color w:val="000000"/>
          <w:kern w:val="0"/>
          <w:sz w:val="28"/>
          <w:szCs w:val="28"/>
          <w:lang w:val="en-US" w:eastAsia="zh-CN"/>
        </w:rPr>
        <w:t>为</w:t>
      </w:r>
      <w:r>
        <w:rPr>
          <w:rFonts w:hint="eastAsia" w:asciiTheme="minorEastAsia" w:hAnsiTheme="minorEastAsia" w:eastAsiaTheme="minorEastAsia" w:cstheme="minorEastAsia"/>
          <w:color w:val="000000"/>
          <w:kern w:val="0"/>
          <w:sz w:val="28"/>
          <w:szCs w:val="28"/>
          <w:lang w:val="en-US" w:eastAsia="zh-CN"/>
        </w:rPr>
        <w:t>学生人数增加</w:t>
      </w:r>
      <w:r>
        <w:rPr>
          <w:rFonts w:hint="eastAsia" w:asciiTheme="minorEastAsia" w:hAnsiTheme="minorEastAsia" w:cstheme="minorEastAsia"/>
          <w:color w:val="000000"/>
          <w:kern w:val="0"/>
          <w:sz w:val="28"/>
          <w:szCs w:val="28"/>
          <w:lang w:val="en-US" w:eastAsia="zh-CN"/>
        </w:rPr>
        <w:t>，经费拨款增加。</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eastAsia="zh-CN"/>
        </w:rPr>
      </w:pPr>
      <w:r>
        <w:rPr>
          <w:rFonts w:hint="eastAsia" w:asciiTheme="minorEastAsia" w:hAnsiTheme="minorEastAsia" w:eastAsiaTheme="minorEastAsia" w:cstheme="minorEastAsia"/>
          <w:color w:val="000000"/>
          <w:kern w:val="0"/>
          <w:sz w:val="28"/>
          <w:szCs w:val="28"/>
        </w:rPr>
        <w:t>2</w:t>
      </w:r>
      <w:r>
        <w:rPr>
          <w:rFonts w:hint="eastAsia" w:asciiTheme="minorEastAsia" w:hAnsi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社会保障和就业支出28.1万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30.22万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减少2.12万元，减少7.02%。减少原因是在职人员减少。</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rPr>
        <w:t>3</w:t>
      </w:r>
      <w:r>
        <w:rPr>
          <w:rFonts w:hint="eastAsia" w:asciiTheme="minorEastAsia" w:hAnsi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rPr>
        <w:t>卫生健康支出1</w:t>
      </w:r>
      <w:r>
        <w:rPr>
          <w:rFonts w:hint="eastAsia" w:asciiTheme="minorEastAsia" w:hAnsiTheme="minorEastAsia" w:eastAsiaTheme="minorEastAsia" w:cstheme="minorEastAsia"/>
          <w:color w:val="000000"/>
          <w:kern w:val="0"/>
          <w:sz w:val="28"/>
          <w:szCs w:val="28"/>
          <w:lang w:val="en-US" w:eastAsia="zh-CN"/>
        </w:rPr>
        <w:t>3万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13.98万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减少0.98万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减少7.01</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eastAsiaTheme="minorEastAsia" w:cstheme="minorEastAsia"/>
          <w:color w:val="000000"/>
          <w:kern w:val="0"/>
          <w:sz w:val="28"/>
          <w:szCs w:val="28"/>
          <w:lang w:val="en-US" w:eastAsia="zh-CN"/>
        </w:rPr>
        <w:t>减少原因是在职人员减少。</w:t>
      </w:r>
    </w:p>
    <w:p>
      <w:pPr>
        <w:numPr>
          <w:ilvl w:val="0"/>
          <w:numId w:val="0"/>
        </w:numPr>
        <w:autoSpaceDE w:val="0"/>
        <w:autoSpaceDN w:val="0"/>
        <w:adjustRightInd w:val="0"/>
        <w:spacing w:line="433" w:lineRule="atLeast"/>
        <w:ind w:leftChars="100" w:firstLine="560" w:firstLineChars="200"/>
        <w:jc w:val="left"/>
        <w:rPr>
          <w:rFonts w:hint="eastAsia" w:ascii="宋体"/>
          <w:color w:val="000000"/>
          <w:kern w:val="0"/>
          <w:sz w:val="28"/>
          <w:szCs w:val="28"/>
          <w:lang w:val="en-US" w:eastAsia="zh-CN"/>
        </w:rPr>
      </w:pPr>
      <w:r>
        <w:rPr>
          <w:rFonts w:hint="eastAsia" w:asciiTheme="minorEastAsia" w:hAnsiTheme="minorEastAsia" w:eastAsiaTheme="minorEastAsia" w:cstheme="minorEastAsia"/>
          <w:color w:val="000000"/>
          <w:kern w:val="0"/>
          <w:sz w:val="28"/>
          <w:szCs w:val="28"/>
        </w:rPr>
        <w:t>4</w:t>
      </w:r>
      <w:r>
        <w:rPr>
          <w:rFonts w:hint="eastAsia" w:asciiTheme="minorEastAsia" w:hAnsiTheme="minorEastAsia" w:cstheme="minorEastAsia"/>
          <w:color w:val="000000"/>
          <w:kern w:val="0"/>
          <w:sz w:val="28"/>
          <w:szCs w:val="28"/>
          <w:lang w:eastAsia="zh-CN"/>
        </w:rPr>
        <w:t>.</w:t>
      </w:r>
      <w:r>
        <w:rPr>
          <w:rFonts w:hint="eastAsia" w:asciiTheme="minorEastAsia" w:hAnsiTheme="minorEastAsia" w:eastAsiaTheme="minorEastAsia" w:cstheme="minorEastAsia"/>
          <w:color w:val="000000"/>
          <w:kern w:val="0"/>
          <w:sz w:val="28"/>
          <w:szCs w:val="28"/>
          <w:lang w:val="en-US" w:eastAsia="zh-CN"/>
        </w:rPr>
        <w:t>住房保障</w:t>
      </w:r>
      <w:r>
        <w:rPr>
          <w:rFonts w:hint="eastAsia" w:asciiTheme="minorEastAsia" w:hAnsiTheme="minorEastAsia" w:eastAsiaTheme="minorEastAsia" w:cstheme="minorEastAsia"/>
          <w:color w:val="000000"/>
          <w:kern w:val="0"/>
          <w:sz w:val="28"/>
          <w:szCs w:val="28"/>
        </w:rPr>
        <w:t>支出</w:t>
      </w:r>
      <w:r>
        <w:rPr>
          <w:rFonts w:hint="eastAsia" w:asciiTheme="minorEastAsia" w:hAnsiTheme="minorEastAsia" w:eastAsiaTheme="minorEastAsia" w:cstheme="minorEastAsia"/>
          <w:color w:val="000000"/>
          <w:kern w:val="0"/>
          <w:sz w:val="28"/>
          <w:szCs w:val="28"/>
          <w:lang w:val="en-US" w:eastAsia="zh-CN"/>
        </w:rPr>
        <w:t>21.08万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比</w:t>
      </w:r>
      <w:r>
        <w:rPr>
          <w:rFonts w:hint="eastAsia" w:asciiTheme="minorEastAsia" w:hAnsiTheme="minorEastAsia" w:eastAsiaTheme="minorEastAsia" w:cstheme="minorEastAsia"/>
          <w:color w:val="000000"/>
          <w:kern w:val="0"/>
          <w:sz w:val="28"/>
          <w:szCs w:val="28"/>
        </w:rPr>
        <w:t>2021年的</w:t>
      </w:r>
      <w:r>
        <w:rPr>
          <w:rFonts w:hint="eastAsia" w:asciiTheme="minorEastAsia" w:hAnsiTheme="minorEastAsia" w:eastAsiaTheme="minorEastAsia" w:cstheme="minorEastAsia"/>
          <w:color w:val="000000"/>
          <w:kern w:val="0"/>
          <w:sz w:val="28"/>
          <w:szCs w:val="28"/>
          <w:lang w:val="en-US" w:eastAsia="zh-CN"/>
        </w:rPr>
        <w:t>支出</w:t>
      </w:r>
      <w:r>
        <w:rPr>
          <w:rFonts w:hint="eastAsia" w:asciiTheme="minorEastAsia" w:hAnsiTheme="minorEastAsia" w:eastAsiaTheme="minorEastAsia" w:cstheme="minorEastAsia"/>
          <w:color w:val="000000"/>
          <w:kern w:val="0"/>
          <w:sz w:val="28"/>
          <w:szCs w:val="28"/>
        </w:rPr>
        <w:t>预算</w:t>
      </w:r>
      <w:r>
        <w:rPr>
          <w:rFonts w:hint="eastAsia" w:asciiTheme="minorEastAsia" w:hAnsiTheme="minorEastAsia" w:eastAsiaTheme="minorEastAsia" w:cstheme="minorEastAsia"/>
          <w:color w:val="000000"/>
          <w:kern w:val="0"/>
          <w:sz w:val="28"/>
          <w:szCs w:val="28"/>
          <w:lang w:val="en-US" w:eastAsia="zh-CN"/>
        </w:rPr>
        <w:t>22.67万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减少1.59万</w:t>
      </w:r>
      <w:r>
        <w:rPr>
          <w:rFonts w:hint="eastAsia" w:asciiTheme="minorEastAsia" w:hAnsiTheme="minorEastAsia" w:eastAsiaTheme="minorEastAsia" w:cstheme="minorEastAsia"/>
          <w:color w:val="000000"/>
          <w:kern w:val="0"/>
          <w:sz w:val="28"/>
          <w:szCs w:val="28"/>
        </w:rPr>
        <w:t>元，</w:t>
      </w:r>
      <w:r>
        <w:rPr>
          <w:rFonts w:hint="eastAsia" w:asciiTheme="minorEastAsia" w:hAnsiTheme="minorEastAsia" w:eastAsiaTheme="minorEastAsia" w:cstheme="minorEastAsia"/>
          <w:color w:val="000000"/>
          <w:kern w:val="0"/>
          <w:sz w:val="28"/>
          <w:szCs w:val="28"/>
          <w:lang w:val="en-US" w:eastAsia="zh-CN"/>
        </w:rPr>
        <w:t>减少7.01</w:t>
      </w:r>
      <w:r>
        <w:rPr>
          <w:rFonts w:hint="eastAsia" w:asciiTheme="minorEastAsia" w:hAnsiTheme="minorEastAsia" w:eastAsiaTheme="minorEastAsia" w:cstheme="minorEastAsia"/>
          <w:color w:val="000000"/>
          <w:kern w:val="0"/>
          <w:sz w:val="28"/>
          <w:szCs w:val="28"/>
        </w:rPr>
        <w:t>%。</w:t>
      </w:r>
      <w:r>
        <w:rPr>
          <w:rFonts w:hint="eastAsia" w:asciiTheme="minorEastAsia" w:hAnsiTheme="minorEastAsia" w:eastAsiaTheme="minorEastAsia" w:cstheme="minorEastAsia"/>
          <w:color w:val="000000"/>
          <w:kern w:val="0"/>
          <w:sz w:val="28"/>
          <w:szCs w:val="28"/>
          <w:lang w:val="en-US" w:eastAsia="zh-CN"/>
        </w:rPr>
        <w:t>减少原因是在职人员减少。</w:t>
      </w:r>
    </w:p>
    <w:p>
      <w:pPr>
        <w:tabs>
          <w:tab w:val="center" w:pos="4475"/>
        </w:tabs>
        <w:spacing w:line="600" w:lineRule="exact"/>
        <w:rPr>
          <w:rFonts w:hint="eastAsia" w:ascii="黑体" w:eastAsia="黑体"/>
          <w:sz w:val="28"/>
          <w:szCs w:val="28"/>
        </w:rPr>
      </w:pPr>
      <w:r>
        <w:rPr>
          <w:rFonts w:hint="eastAsia" w:ascii="宋体" w:cstheme="minorBidi"/>
          <w:b/>
          <w:bCs/>
          <w:color w:val="000000"/>
          <w:kern w:val="0"/>
          <w:sz w:val="28"/>
          <w:szCs w:val="28"/>
          <w:lang w:val="en-US" w:eastAsia="zh-CN" w:bidi="ar-SA"/>
        </w:rPr>
        <w:t>五、</w:t>
      </w:r>
      <w:r>
        <w:rPr>
          <w:rFonts w:hint="eastAsia" w:ascii="宋体" w:hAnsiTheme="minorHAnsi" w:eastAsiaTheme="minorEastAsia" w:cstheme="minorBidi"/>
          <w:b/>
          <w:bCs/>
          <w:color w:val="000000"/>
          <w:kern w:val="0"/>
          <w:sz w:val="28"/>
          <w:szCs w:val="28"/>
          <w:lang w:val="en-US" w:eastAsia="zh-CN" w:bidi="ar-SA"/>
        </w:rPr>
        <w:t>一般公共预算支出情况说明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2022年一般公共预算支出1065.68万元，比2021年的一般公共预算拨款978.19万元增加87.49万元，增加8.95%。按支出功能分类划分，共分为四类，其中：</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1</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lang w:val="en-US" w:eastAsia="zh-CN"/>
        </w:rPr>
        <w:t>技校教育支出1003.5万元，比2021年的支出预算911.32万元增加92.18万元，增加10.11%。增加原因</w:t>
      </w:r>
      <w:r>
        <w:rPr>
          <w:rFonts w:hint="eastAsia" w:asciiTheme="minorEastAsia" w:hAnsiTheme="minorEastAsia" w:cstheme="minorEastAsia"/>
          <w:color w:val="000000"/>
          <w:kern w:val="0"/>
          <w:sz w:val="28"/>
          <w:szCs w:val="28"/>
          <w:lang w:val="en-US" w:eastAsia="zh-CN"/>
        </w:rPr>
        <w:t>为</w:t>
      </w:r>
      <w:r>
        <w:rPr>
          <w:rFonts w:hint="eastAsia" w:asciiTheme="minorEastAsia" w:hAnsiTheme="minorEastAsia" w:eastAsiaTheme="minorEastAsia" w:cstheme="minorEastAsia"/>
          <w:color w:val="000000"/>
          <w:kern w:val="0"/>
          <w:sz w:val="28"/>
          <w:szCs w:val="28"/>
          <w:lang w:val="en-US" w:eastAsia="zh-CN"/>
        </w:rPr>
        <w:t>学生人数增加</w:t>
      </w:r>
      <w:r>
        <w:rPr>
          <w:rFonts w:hint="eastAsia" w:asciiTheme="minorEastAsia" w:hAnsiTheme="minorEastAsia" w:cstheme="minorEastAsia"/>
          <w:color w:val="000000"/>
          <w:kern w:val="0"/>
          <w:sz w:val="28"/>
          <w:szCs w:val="28"/>
          <w:lang w:val="en-US" w:eastAsia="zh-CN"/>
        </w:rPr>
        <w:t>，经费拨款增加。</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2</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lang w:val="en-US" w:eastAsia="zh-CN"/>
        </w:rPr>
        <w:t>社会保障和就业支出28.1万元，比2021年的支出预算30.22万元减少2.12万元，减少7.02%。减少原因是在职人员减少。</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3</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lang w:val="en-US" w:eastAsia="zh-CN"/>
        </w:rPr>
        <w:t>卫生健康支出13万元，比2021年的支出预算13.98万元减少0.98万元，减少7.01%。减少原因是在职人员减少。</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4</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lang w:val="en-US" w:eastAsia="zh-CN"/>
        </w:rPr>
        <w:t>住房保障支出21.08万元，比2021年的支出预算22.67万元减少1.59万元，减少7.01%。减少原因是在职人员减少。</w:t>
      </w:r>
    </w:p>
    <w:p>
      <w:pPr>
        <w:tabs>
          <w:tab w:val="center" w:pos="4475"/>
        </w:tabs>
        <w:spacing w:line="600" w:lineRule="exact"/>
        <w:rPr>
          <w:rFonts w:hint="eastAsia" w:ascii="黑体" w:eastAsia="黑体"/>
          <w:sz w:val="28"/>
          <w:szCs w:val="28"/>
        </w:rPr>
      </w:pPr>
      <w:r>
        <w:rPr>
          <w:rFonts w:hint="eastAsia" w:ascii="宋体" w:cstheme="minorBidi"/>
          <w:b/>
          <w:bCs/>
          <w:color w:val="000000"/>
          <w:kern w:val="0"/>
          <w:sz w:val="28"/>
          <w:szCs w:val="28"/>
          <w:lang w:val="en-US" w:eastAsia="zh-CN" w:bidi="ar-SA"/>
        </w:rPr>
        <w:t>六、</w:t>
      </w:r>
      <w:r>
        <w:rPr>
          <w:rFonts w:hint="eastAsia" w:ascii="宋体" w:hAnsiTheme="minorHAnsi" w:eastAsiaTheme="minorEastAsia" w:cstheme="minorBidi"/>
          <w:b/>
          <w:bCs/>
          <w:color w:val="000000"/>
          <w:kern w:val="0"/>
          <w:sz w:val="28"/>
          <w:szCs w:val="28"/>
          <w:lang w:val="en-US" w:eastAsia="zh-CN" w:bidi="ar-SA"/>
        </w:rPr>
        <w:t>一般公共预算基本支出情况说明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2022年一般公共预算基本支出499.2万元，其中：人员经费预算344.4万元，公用经费154.8万元。比2021年的一般公共预算基本支出522.56万元减少23.36万元，减少4.47%。</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按支出经济分类划分：</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1.工资福利支出282.36万元，同比减少16.52万元，减少5.53%。减少原因为在职人员减少。</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2.商品和服务支出154.8万元，同比减少1.09万元，减少0.7%。</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3.对个人和家庭的补助62.03万元，同比减少5.76万元，减少8.5%。减少原因为在职人员减少。</w:t>
      </w:r>
    </w:p>
    <w:p>
      <w:pPr>
        <w:tabs>
          <w:tab w:val="center" w:pos="4475"/>
        </w:tabs>
        <w:spacing w:line="600" w:lineRule="exact"/>
        <w:rPr>
          <w:rFonts w:hint="eastAsia" w:ascii="黑体" w:eastAsia="黑体"/>
          <w:sz w:val="28"/>
          <w:szCs w:val="28"/>
        </w:rPr>
      </w:pPr>
      <w:r>
        <w:rPr>
          <w:rFonts w:hint="eastAsia" w:ascii="宋体" w:cstheme="minorBidi"/>
          <w:b/>
          <w:bCs/>
          <w:color w:val="000000"/>
          <w:kern w:val="0"/>
          <w:sz w:val="28"/>
          <w:szCs w:val="28"/>
          <w:lang w:val="en-US" w:eastAsia="zh-CN" w:bidi="ar-SA"/>
        </w:rPr>
        <w:t>七、</w:t>
      </w:r>
      <w:r>
        <w:rPr>
          <w:rFonts w:hint="eastAsia" w:ascii="宋体" w:hAnsiTheme="minorHAnsi" w:eastAsiaTheme="minorEastAsia" w:cstheme="minorBidi"/>
          <w:b/>
          <w:bCs/>
          <w:color w:val="000000"/>
          <w:kern w:val="0"/>
          <w:sz w:val="28"/>
          <w:szCs w:val="28"/>
          <w:lang w:val="en-US" w:eastAsia="zh-CN" w:bidi="ar-SA"/>
        </w:rPr>
        <w:t>一般公共预算“三公”经费支出情况说明</w:t>
      </w:r>
    </w:p>
    <w:p>
      <w:pPr>
        <w:numPr>
          <w:ilvl w:val="0"/>
          <w:numId w:val="0"/>
        </w:numPr>
        <w:autoSpaceDE w:val="0"/>
        <w:autoSpaceDN w:val="0"/>
        <w:adjustRightInd w:val="0"/>
        <w:spacing w:line="433" w:lineRule="atLeast"/>
        <w:ind w:leftChars="100" w:firstLine="560" w:firstLineChars="200"/>
        <w:jc w:val="left"/>
        <w:rPr>
          <w:rFonts w:hint="default"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我</w:t>
      </w:r>
      <w:r>
        <w:rPr>
          <w:rFonts w:hint="eastAsia" w:asciiTheme="minorEastAsia" w:hAnsiTheme="minorEastAsia" w:cstheme="minorEastAsia"/>
          <w:color w:val="000000"/>
          <w:kern w:val="0"/>
          <w:sz w:val="28"/>
          <w:szCs w:val="28"/>
          <w:lang w:val="en-US" w:eastAsia="zh-CN"/>
        </w:rPr>
        <w:t>单位2022年</w:t>
      </w:r>
      <w:r>
        <w:rPr>
          <w:rFonts w:hint="eastAsia" w:asciiTheme="minorEastAsia" w:hAnsiTheme="minorEastAsia" w:eastAsiaTheme="minorEastAsia" w:cstheme="minorEastAsia"/>
          <w:color w:val="000000"/>
          <w:kern w:val="0"/>
          <w:sz w:val="28"/>
          <w:szCs w:val="28"/>
          <w:lang w:val="en-US" w:eastAsia="zh-CN"/>
        </w:rPr>
        <w:t>无一般公共预算“三公”经费支出</w:t>
      </w:r>
      <w:r>
        <w:rPr>
          <w:rFonts w:hint="eastAsia" w:asciiTheme="minorEastAsia" w:hAnsiTheme="minorEastAsia" w:cstheme="minorEastAsia"/>
          <w:color w:val="000000"/>
          <w:kern w:val="0"/>
          <w:sz w:val="28"/>
          <w:szCs w:val="28"/>
          <w:lang w:val="en-US" w:eastAsia="zh-CN"/>
        </w:rPr>
        <w:t>，与2021年</w:t>
      </w:r>
      <w:r>
        <w:rPr>
          <w:rFonts w:hint="eastAsia" w:asciiTheme="minorEastAsia" w:hAnsiTheme="minorEastAsia" w:eastAsiaTheme="minorEastAsia" w:cstheme="minorEastAsia"/>
          <w:color w:val="000000"/>
          <w:kern w:val="0"/>
          <w:sz w:val="28"/>
          <w:szCs w:val="28"/>
          <w:lang w:val="en-US" w:eastAsia="zh-CN"/>
        </w:rPr>
        <w:t>一般公共预算“三公”经费支出</w:t>
      </w:r>
      <w:r>
        <w:rPr>
          <w:rFonts w:hint="eastAsia" w:asciiTheme="minorEastAsia" w:hAnsiTheme="minorEastAsia" w:cstheme="minorEastAsia"/>
          <w:color w:val="000000"/>
          <w:kern w:val="0"/>
          <w:sz w:val="28"/>
          <w:szCs w:val="28"/>
          <w:lang w:val="en-US" w:eastAsia="zh-CN"/>
        </w:rPr>
        <w:t>安排持平。</w:t>
      </w:r>
    </w:p>
    <w:p>
      <w:pPr>
        <w:tabs>
          <w:tab w:val="center" w:pos="4475"/>
        </w:tabs>
        <w:spacing w:line="600" w:lineRule="exact"/>
        <w:rPr>
          <w:rFonts w:hint="eastAsia" w:ascii="黑体" w:eastAsia="黑体"/>
          <w:sz w:val="28"/>
          <w:szCs w:val="28"/>
        </w:rPr>
      </w:pPr>
      <w:r>
        <w:rPr>
          <w:rFonts w:hint="eastAsia" w:ascii="宋体" w:cstheme="minorBidi"/>
          <w:b/>
          <w:bCs/>
          <w:color w:val="000000"/>
          <w:kern w:val="0"/>
          <w:sz w:val="28"/>
          <w:szCs w:val="28"/>
          <w:lang w:val="en-US" w:eastAsia="zh-CN" w:bidi="ar-SA"/>
        </w:rPr>
        <w:t>八、</w:t>
      </w:r>
      <w:r>
        <w:rPr>
          <w:rFonts w:hint="eastAsia" w:ascii="宋体" w:hAnsiTheme="minorHAnsi" w:eastAsiaTheme="minorEastAsia" w:cstheme="minorBidi"/>
          <w:b/>
          <w:bCs/>
          <w:color w:val="000000"/>
          <w:kern w:val="0"/>
          <w:sz w:val="28"/>
          <w:szCs w:val="28"/>
          <w:lang w:val="en-US" w:eastAsia="zh-CN" w:bidi="ar-SA"/>
        </w:rPr>
        <w:t>政府性基金预算支出情况说明</w:t>
      </w:r>
    </w:p>
    <w:p>
      <w:pPr>
        <w:numPr>
          <w:ilvl w:val="0"/>
          <w:numId w:val="0"/>
        </w:numPr>
        <w:autoSpaceDE w:val="0"/>
        <w:autoSpaceDN w:val="0"/>
        <w:adjustRightInd w:val="0"/>
        <w:spacing w:line="433" w:lineRule="atLeast"/>
        <w:ind w:leftChars="100" w:firstLine="560" w:firstLineChars="200"/>
        <w:jc w:val="left"/>
        <w:rPr>
          <w:rFonts w:hint="default"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我</w:t>
      </w:r>
      <w:r>
        <w:rPr>
          <w:rFonts w:hint="eastAsia" w:asciiTheme="minorEastAsia" w:hAnsiTheme="minorEastAsia" w:cstheme="minorEastAsia"/>
          <w:color w:val="000000"/>
          <w:kern w:val="0"/>
          <w:sz w:val="28"/>
          <w:szCs w:val="28"/>
          <w:lang w:val="en-US" w:eastAsia="zh-CN"/>
        </w:rPr>
        <w:t>单位2022年</w:t>
      </w:r>
      <w:r>
        <w:rPr>
          <w:rFonts w:hint="eastAsia" w:asciiTheme="minorEastAsia" w:hAnsiTheme="minorEastAsia" w:eastAsiaTheme="minorEastAsia" w:cstheme="minorEastAsia"/>
          <w:color w:val="000000"/>
          <w:kern w:val="0"/>
          <w:sz w:val="28"/>
          <w:szCs w:val="28"/>
          <w:lang w:val="en-US" w:eastAsia="zh-CN"/>
        </w:rPr>
        <w:t>无政府性基金预算支出</w:t>
      </w:r>
      <w:r>
        <w:rPr>
          <w:rFonts w:hint="eastAsia" w:asciiTheme="minorEastAsia" w:hAnsiTheme="minorEastAsia" w:cstheme="minorEastAsia"/>
          <w:color w:val="000000"/>
          <w:kern w:val="0"/>
          <w:sz w:val="28"/>
          <w:szCs w:val="28"/>
          <w:lang w:val="en-US" w:eastAsia="zh-CN"/>
        </w:rPr>
        <w:t>，与2021年持平。</w:t>
      </w:r>
    </w:p>
    <w:p>
      <w:pPr>
        <w:numPr>
          <w:ilvl w:val="0"/>
          <w:numId w:val="0"/>
        </w:numPr>
        <w:autoSpaceDE w:val="0"/>
        <w:autoSpaceDN w:val="0"/>
        <w:adjustRightInd w:val="0"/>
        <w:spacing w:line="433" w:lineRule="atLeast"/>
        <w:jc w:val="left"/>
        <w:rPr>
          <w:rFonts w:hint="eastAsia" w:ascii="黑体" w:eastAsia="黑体"/>
          <w:sz w:val="28"/>
          <w:szCs w:val="28"/>
        </w:rPr>
      </w:pPr>
      <w:r>
        <w:rPr>
          <w:rFonts w:hint="eastAsia" w:asciiTheme="minorEastAsia" w:hAnsiTheme="minorEastAsia" w:cstheme="minorEastAsia"/>
          <w:b/>
          <w:bCs/>
          <w:color w:val="000000"/>
          <w:kern w:val="0"/>
          <w:sz w:val="28"/>
          <w:szCs w:val="28"/>
          <w:lang w:val="en-US" w:eastAsia="zh-CN"/>
        </w:rPr>
        <w:t>九、</w:t>
      </w:r>
      <w:r>
        <w:rPr>
          <w:rFonts w:hint="eastAsia" w:ascii="宋体" w:hAnsiTheme="minorHAnsi" w:eastAsiaTheme="minorEastAsia" w:cstheme="minorBidi"/>
          <w:b/>
          <w:bCs/>
          <w:color w:val="000000"/>
          <w:kern w:val="0"/>
          <w:sz w:val="28"/>
          <w:szCs w:val="28"/>
          <w:lang w:val="en-US" w:eastAsia="zh-CN" w:bidi="ar-SA"/>
        </w:rPr>
        <w:t>其他重要事项情况说明</w:t>
      </w:r>
    </w:p>
    <w:p>
      <w:pPr>
        <w:numPr>
          <w:ilvl w:val="0"/>
          <w:numId w:val="1"/>
        </w:numPr>
        <w:tabs>
          <w:tab w:val="center" w:pos="4475"/>
        </w:tabs>
        <w:spacing w:line="600" w:lineRule="exact"/>
        <w:ind w:left="-15" w:leftChars="0" w:firstLine="645" w:firstLineChars="0"/>
        <w:rPr>
          <w:rFonts w:hint="eastAsia" w:ascii="黑体" w:hAnsi="Arial" w:eastAsia="黑体" w:cs="Arial"/>
          <w:kern w:val="0"/>
          <w:sz w:val="28"/>
          <w:szCs w:val="28"/>
        </w:rPr>
      </w:pPr>
      <w:r>
        <w:rPr>
          <w:rFonts w:hint="eastAsia" w:ascii="宋体" w:hAnsiTheme="minorHAnsi" w:eastAsiaTheme="minorEastAsia" w:cstheme="minorBidi"/>
          <w:b/>
          <w:bCs/>
          <w:color w:val="000000"/>
          <w:kern w:val="0"/>
          <w:sz w:val="28"/>
          <w:szCs w:val="28"/>
          <w:lang w:val="en-US" w:eastAsia="zh-CN" w:bidi="ar-SA"/>
        </w:rPr>
        <w:t>政府采购预算安排情况说明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2022年政府采购预算155.98万元，同比增加70.98万元，增长83.5％；增减变化原因：学生人数增加，经费增加，</w:t>
      </w:r>
      <w:r>
        <w:rPr>
          <w:rFonts w:hint="eastAsia" w:asciiTheme="minorEastAsia" w:hAnsiTheme="minorEastAsia" w:cstheme="minorEastAsia"/>
          <w:color w:val="000000"/>
          <w:kern w:val="0"/>
          <w:sz w:val="28"/>
          <w:szCs w:val="28"/>
          <w:lang w:val="en-US" w:eastAsia="zh-CN"/>
        </w:rPr>
        <w:t>采购教学设备增加</w:t>
      </w:r>
      <w:r>
        <w:rPr>
          <w:rFonts w:hint="eastAsia" w:asciiTheme="minorEastAsia" w:hAnsiTheme="minorEastAsia" w:eastAsiaTheme="minorEastAsia" w:cstheme="minorEastAsia"/>
          <w:color w:val="000000"/>
          <w:kern w:val="0"/>
          <w:sz w:val="28"/>
          <w:szCs w:val="28"/>
          <w:lang w:val="en-US" w:eastAsia="zh-CN"/>
        </w:rPr>
        <w:t>。货物采购100.98万元，占政府采购预算64.74％；工程采购0万元，占政府采购预算0％；服务采购55万元，占政府采购预算35.26％。</w:t>
      </w:r>
    </w:p>
    <w:p>
      <w:pPr>
        <w:numPr>
          <w:ilvl w:val="0"/>
          <w:numId w:val="1"/>
        </w:numPr>
        <w:tabs>
          <w:tab w:val="center" w:pos="4475"/>
        </w:tabs>
        <w:spacing w:line="600" w:lineRule="exact"/>
        <w:ind w:left="-15" w:leftChars="0" w:firstLine="645" w:firstLineChars="0"/>
        <w:rPr>
          <w:rFonts w:hint="eastAsia" w:ascii="宋体" w:hAnsiTheme="minorHAnsi" w:eastAsiaTheme="minorEastAsia" w:cstheme="minorBidi"/>
          <w:b/>
          <w:bCs/>
          <w:color w:val="000000"/>
          <w:kern w:val="0"/>
          <w:sz w:val="28"/>
          <w:szCs w:val="28"/>
          <w:lang w:val="en-US" w:eastAsia="zh-CN" w:bidi="ar-SA"/>
        </w:rPr>
      </w:pPr>
      <w:r>
        <w:rPr>
          <w:rFonts w:hint="eastAsia" w:ascii="宋体" w:hAnsiTheme="minorHAnsi" w:eastAsiaTheme="minorEastAsia" w:cstheme="minorBidi"/>
          <w:b/>
          <w:bCs/>
          <w:color w:val="000000"/>
          <w:kern w:val="0"/>
          <w:sz w:val="28"/>
          <w:szCs w:val="28"/>
          <w:lang w:val="en-US" w:eastAsia="zh-CN" w:bidi="ar-SA"/>
        </w:rPr>
        <w:t>重点项目预算绩效目标等情况说明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事业单位在职人员绩效工资:233.08万元。年度绩效目标：提高职工工作积极性，一季度支出达到30％，二季度支出进度达到60％，三季度支出进度达到75％，四季度支出进度达到100％。</w:t>
      </w:r>
    </w:p>
    <w:p>
      <w:pPr>
        <w:tabs>
          <w:tab w:val="center" w:pos="4475"/>
        </w:tabs>
        <w:spacing w:line="600" w:lineRule="exact"/>
        <w:ind w:firstLine="560" w:firstLineChars="200"/>
        <w:rPr>
          <w:rFonts w:hint="eastAsia" w:ascii="宋体" w:hAnsiTheme="minorHAnsi" w:eastAsiaTheme="minorEastAsia" w:cstheme="minorBidi"/>
          <w:b/>
          <w:bCs/>
          <w:color w:val="000000"/>
          <w:kern w:val="0"/>
          <w:sz w:val="28"/>
          <w:szCs w:val="28"/>
          <w:lang w:val="en-US" w:eastAsia="zh-CN" w:bidi="ar-SA"/>
        </w:rPr>
      </w:pPr>
      <w:r>
        <w:rPr>
          <w:rFonts w:hint="eastAsia" w:ascii="黑体" w:hAnsi="Arial" w:eastAsia="黑体" w:cs="Arial"/>
          <w:kern w:val="0"/>
          <w:sz w:val="28"/>
          <w:szCs w:val="28"/>
        </w:rPr>
        <w:t>（</w:t>
      </w:r>
      <w:r>
        <w:rPr>
          <w:rFonts w:hint="eastAsia" w:ascii="黑体" w:hAnsi="Arial" w:eastAsia="黑体" w:cs="Arial"/>
          <w:kern w:val="0"/>
          <w:sz w:val="28"/>
          <w:szCs w:val="28"/>
          <w:lang w:val="en-US" w:eastAsia="zh-CN"/>
        </w:rPr>
        <w:t>三</w:t>
      </w:r>
      <w:r>
        <w:rPr>
          <w:rFonts w:hint="eastAsia" w:ascii="黑体" w:hAnsi="Arial" w:eastAsia="黑体" w:cs="Arial"/>
          <w:kern w:val="0"/>
          <w:sz w:val="28"/>
          <w:szCs w:val="28"/>
        </w:rPr>
        <w:t>）</w:t>
      </w:r>
      <w:r>
        <w:rPr>
          <w:rFonts w:hint="eastAsia" w:ascii="宋体" w:hAnsiTheme="minorHAnsi" w:eastAsiaTheme="minorEastAsia" w:cstheme="minorBidi"/>
          <w:b/>
          <w:bCs/>
          <w:color w:val="000000"/>
          <w:kern w:val="0"/>
          <w:sz w:val="28"/>
          <w:szCs w:val="28"/>
          <w:lang w:val="en-US" w:eastAsia="zh-CN" w:bidi="ar-SA"/>
        </w:rPr>
        <w:t>国有资产占用情况说明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我</w:t>
      </w:r>
      <w:r>
        <w:rPr>
          <w:rFonts w:hint="eastAsia" w:asciiTheme="minorEastAsia" w:hAnsiTheme="minorEastAsia" w:cstheme="minorEastAsia"/>
          <w:color w:val="000000"/>
          <w:kern w:val="0"/>
          <w:sz w:val="28"/>
          <w:szCs w:val="28"/>
          <w:lang w:val="en-US" w:eastAsia="zh-CN"/>
        </w:rPr>
        <w:t>单位</w:t>
      </w:r>
      <w:r>
        <w:rPr>
          <w:rFonts w:hint="eastAsia" w:asciiTheme="minorEastAsia" w:hAnsiTheme="minorEastAsia" w:eastAsiaTheme="minorEastAsia" w:cstheme="minorEastAsia"/>
          <w:color w:val="000000"/>
          <w:kern w:val="0"/>
          <w:sz w:val="28"/>
          <w:szCs w:val="28"/>
          <w:lang w:val="en-US" w:eastAsia="zh-CN"/>
        </w:rPr>
        <w:t>2022年部门预算无国有资产占用相关情况</w:t>
      </w:r>
      <w:r>
        <w:rPr>
          <w:rFonts w:hint="eastAsia" w:asciiTheme="minorEastAsia" w:hAnsiTheme="minorEastAsia" w:cstheme="minorEastAsia"/>
          <w:color w:val="000000"/>
          <w:kern w:val="0"/>
          <w:sz w:val="28"/>
          <w:szCs w:val="28"/>
          <w:lang w:val="en-US" w:eastAsia="zh-CN"/>
        </w:rPr>
        <w:t>，与2021年持平。</w:t>
      </w:r>
      <w:bookmarkStart w:id="0" w:name="_GoBack"/>
      <w:bookmarkEnd w:id="0"/>
    </w:p>
    <w:p>
      <w:pPr>
        <w:numPr>
          <w:ilvl w:val="0"/>
          <w:numId w:val="0"/>
        </w:numPr>
        <w:autoSpaceDE w:val="0"/>
        <w:autoSpaceDN w:val="0"/>
        <w:adjustRightInd w:val="0"/>
        <w:spacing w:line="433" w:lineRule="atLeast"/>
        <w:ind w:left="630" w:leftChars="0"/>
        <w:jc w:val="left"/>
        <w:rPr>
          <w:rFonts w:hint="eastAsia" w:asciiTheme="minorEastAsia" w:hAnsiTheme="minorEastAsia" w:cstheme="minorEastAsia"/>
          <w:b/>
          <w:bCs/>
          <w:color w:val="000000"/>
          <w:kern w:val="0"/>
          <w:sz w:val="28"/>
          <w:szCs w:val="28"/>
          <w:lang w:val="en-US" w:eastAsia="zh-CN"/>
        </w:rPr>
      </w:pPr>
      <w:r>
        <w:rPr>
          <w:rFonts w:hint="eastAsia" w:asciiTheme="minorEastAsia" w:hAnsiTheme="minorEastAsia" w:cstheme="minorEastAsia"/>
          <w:b/>
          <w:bCs/>
          <w:color w:val="000000"/>
          <w:kern w:val="0"/>
          <w:sz w:val="28"/>
          <w:szCs w:val="28"/>
          <w:lang w:val="en-US" w:eastAsia="zh-CN"/>
        </w:rPr>
        <w:t>（四）事业单位运行经费安排情况说明</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cstheme="minorEastAsia"/>
          <w:b/>
          <w:bCs/>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我单位2022年相关运行经费主要包括办公费</w:t>
      </w:r>
      <w:r>
        <w:rPr>
          <w:rFonts w:hint="eastAsia" w:asciiTheme="minorEastAsia" w:hAnsiTheme="minorEastAsia" w:cstheme="minorEastAsia"/>
          <w:color w:val="000000"/>
          <w:kern w:val="0"/>
          <w:sz w:val="28"/>
          <w:szCs w:val="28"/>
          <w:lang w:val="en-US" w:eastAsia="zh-CN"/>
        </w:rPr>
        <w:t>3</w:t>
      </w:r>
      <w:r>
        <w:rPr>
          <w:rFonts w:hint="eastAsia" w:asciiTheme="minorEastAsia" w:hAnsiTheme="minorEastAsia" w:eastAsiaTheme="minorEastAsia" w:cstheme="minorEastAsia"/>
          <w:color w:val="000000"/>
          <w:kern w:val="0"/>
          <w:sz w:val="28"/>
          <w:szCs w:val="28"/>
          <w:lang w:val="en-US" w:eastAsia="zh-CN"/>
        </w:rPr>
        <w:t>5万元，水费12万元，电费26万元，邮电费6万元，差旅费20万元，维修(护)费</w:t>
      </w:r>
      <w:r>
        <w:rPr>
          <w:rFonts w:hint="eastAsia" w:asciiTheme="minorEastAsia" w:hAnsiTheme="minorEastAsia" w:cstheme="minorEastAsia"/>
          <w:color w:val="000000"/>
          <w:kern w:val="0"/>
          <w:sz w:val="28"/>
          <w:szCs w:val="28"/>
          <w:lang w:val="en-US" w:eastAsia="zh-CN"/>
        </w:rPr>
        <w:t>3</w:t>
      </w:r>
      <w:r>
        <w:rPr>
          <w:rFonts w:hint="eastAsia" w:asciiTheme="minorEastAsia" w:hAnsiTheme="minorEastAsia" w:eastAsiaTheme="minorEastAsia" w:cstheme="minorEastAsia"/>
          <w:color w:val="000000"/>
          <w:kern w:val="0"/>
          <w:sz w:val="28"/>
          <w:szCs w:val="28"/>
          <w:lang w:val="en-US" w:eastAsia="zh-CN"/>
        </w:rPr>
        <w:t>5万元，专用材料费12万元，劳务费6万元，福利费6万元，印刷费2万元，</w:t>
      </w:r>
      <w:r>
        <w:rPr>
          <w:rFonts w:hint="eastAsia" w:ascii="宋体"/>
          <w:color w:val="000000"/>
          <w:kern w:val="0"/>
          <w:sz w:val="28"/>
          <w:szCs w:val="28"/>
        </w:rPr>
        <w:t>其他交通费</w:t>
      </w:r>
      <w:r>
        <w:rPr>
          <w:rFonts w:hint="eastAsia" w:asciiTheme="minorEastAsia" w:hAnsiTheme="minorEastAsia" w:eastAsiaTheme="minorEastAsia" w:cstheme="minorEastAsia"/>
          <w:color w:val="000000"/>
          <w:kern w:val="0"/>
          <w:sz w:val="28"/>
          <w:szCs w:val="28"/>
          <w:lang w:val="en-US" w:eastAsia="zh-CN"/>
        </w:rPr>
        <w:t>20万元，其他商品和服务支出67.34万元，其他工资福利支出7.05万元，物业管理费47万元</w:t>
      </w:r>
      <w:r>
        <w:rPr>
          <w:rFonts w:hint="eastAsia" w:asciiTheme="minorEastAsia" w:hAnsiTheme="minorEastAsia" w:cstheme="minorEastAsia"/>
          <w:color w:val="000000"/>
          <w:kern w:val="0"/>
          <w:sz w:val="28"/>
          <w:szCs w:val="28"/>
          <w:lang w:val="en-US" w:eastAsia="zh-CN"/>
        </w:rPr>
        <w:t>。</w:t>
      </w:r>
      <w:r>
        <w:rPr>
          <w:rFonts w:hint="eastAsia" w:asciiTheme="minorEastAsia" w:hAnsiTheme="minorEastAsia" w:eastAsiaTheme="minorEastAsia" w:cstheme="minorEastAsia"/>
          <w:color w:val="000000"/>
          <w:kern w:val="0"/>
          <w:sz w:val="28"/>
          <w:szCs w:val="28"/>
          <w:lang w:val="en-US" w:eastAsia="zh-CN"/>
        </w:rPr>
        <w:t>其中，变化幅度较大的是维修(护)费，同比增加23万元，增长169.23%，原因是2022年用于学生宿舍等校园维修费用方面的支出</w:t>
      </w:r>
      <w:r>
        <w:rPr>
          <w:rFonts w:hint="eastAsia" w:asciiTheme="minorEastAsia" w:hAnsiTheme="minorEastAsia" w:cstheme="minorEastAsia"/>
          <w:color w:val="000000"/>
          <w:kern w:val="0"/>
          <w:sz w:val="28"/>
          <w:szCs w:val="28"/>
          <w:lang w:val="en-US" w:eastAsia="zh-CN"/>
        </w:rPr>
        <w:t>增</w:t>
      </w:r>
      <w:r>
        <w:rPr>
          <w:rFonts w:hint="eastAsia" w:asciiTheme="minorEastAsia" w:hAnsiTheme="minorEastAsia" w:eastAsiaTheme="minorEastAsia" w:cstheme="minorEastAsia"/>
          <w:color w:val="000000"/>
          <w:kern w:val="0"/>
          <w:sz w:val="28"/>
          <w:szCs w:val="28"/>
          <w:lang w:val="en-US" w:eastAsia="zh-CN"/>
        </w:rPr>
        <w:t>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25" w:lineRule="atLeast"/>
        <w:ind w:right="525" w:firstLine="640" w:firstLineChars="200"/>
        <w:jc w:val="left"/>
        <w:rPr>
          <w:rFonts w:hint="eastAsia" w:ascii="黑体" w:eastAsia="黑体"/>
          <w:b w:val="0"/>
          <w:bCs/>
          <w:sz w:val="32"/>
          <w:szCs w:val="32"/>
          <w:lang w:val="en-US" w:eastAsia="zh-CN"/>
        </w:rPr>
      </w:pPr>
      <w:r>
        <w:rPr>
          <w:rFonts w:hint="eastAsia" w:ascii="黑体" w:eastAsia="黑体"/>
          <w:b w:val="0"/>
          <w:bCs/>
          <w:sz w:val="32"/>
          <w:szCs w:val="32"/>
          <w:lang w:val="en-US" w:eastAsia="zh-CN"/>
        </w:rPr>
        <w:t>第三部分：名词解释</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一、财政拨款收入：指自治区财政部门当年拨付的资金。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二、事业收入：指事业单位开展专业业务活动及辅助活动所取得的收入。</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三、经营收入：指事业单位在专业业务活动及其辅助活动之外开展非独立核算经营活动取得的收入。</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四、其他收入：指除上述“财政拨款收入”“事业收入”“经营收入”等以外的收入。</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六、年初结转和结余：指以前年度尚未完成、结转到本年 按有关规定继续使用的资金。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七、结余分配：指事业单位按规定提取的职工福利基金、事业基金和缴纳的所得税，以及建设单位按规定应交回的基本建设竣工项目结余资金。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八、年末结转和结余：指本年度或以前年度预算安排、因客观条件发生变化无法按原计划实施，需要延迟到以后年度按有关规定继续使用的资金。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九、基本支出：指为保障机构正常运转、完成日常工作任务而发生的人员支出和公用支出。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十、项目支出：指在基本支出之外为完成特定行政任务和事业发展目标所发生的支出。 </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十一、经营支出：指事业单位在专业业务活动及其辅助活动之外开展非独立核算经营活动发生的支出。</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 xml:space="preserve">十二、“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numPr>
          <w:ilvl w:val="0"/>
          <w:numId w:val="0"/>
        </w:numPr>
        <w:autoSpaceDE w:val="0"/>
        <w:autoSpaceDN w:val="0"/>
        <w:adjustRightInd w:val="0"/>
        <w:spacing w:line="433" w:lineRule="atLeast"/>
        <w:ind w:leftChars="100" w:firstLine="560" w:firstLineChars="200"/>
        <w:jc w:val="left"/>
        <w:rPr>
          <w:rFonts w:hint="eastAsia" w:ascii="宋体"/>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numPr>
          <w:ilvl w:val="0"/>
          <w:numId w:val="0"/>
        </w:numPr>
        <w:autoSpaceDE w:val="0"/>
        <w:autoSpaceDN w:val="0"/>
        <w:adjustRightInd w:val="0"/>
        <w:spacing w:line="433" w:lineRule="atLeast"/>
        <w:jc w:val="left"/>
        <w:rPr>
          <w:rFonts w:hint="eastAsia" w:ascii="黑体" w:eastAsia="黑体"/>
          <w:b w:val="0"/>
          <w:bCs/>
          <w:sz w:val="32"/>
          <w:szCs w:val="32"/>
          <w:lang w:val="en-US" w:eastAsia="zh-CN"/>
        </w:rPr>
      </w:pPr>
      <w:r>
        <w:rPr>
          <w:rFonts w:hint="eastAsia" w:ascii="黑体" w:eastAsia="黑体"/>
          <w:b w:val="0"/>
          <w:bCs/>
          <w:sz w:val="32"/>
          <w:szCs w:val="32"/>
          <w:lang w:val="en-US" w:eastAsia="zh-CN"/>
        </w:rPr>
        <w:t>第四部分：广西动力技工学校 2022年部门预算报表（详见附件）</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表一：部门收支总体情况表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表二：部门收入总体情况表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表三：部门支出总体情况表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表四：财政拨款收支总体情况表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表五：一般公共预算支出情况表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表六：一般公共预算基本支出情况表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表七：一般公共预算“三公”经费支出情况表</w:t>
      </w:r>
    </w:p>
    <w:p>
      <w:pPr>
        <w:numPr>
          <w:ilvl w:val="0"/>
          <w:numId w:val="0"/>
        </w:numPr>
        <w:autoSpaceDE w:val="0"/>
        <w:autoSpaceDN w:val="0"/>
        <w:adjustRightInd w:val="0"/>
        <w:spacing w:line="433" w:lineRule="atLeast"/>
        <w:ind w:leftChars="100" w:firstLine="560" w:firstLineChars="200"/>
        <w:jc w:val="left"/>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表八：政府性基金预算支出情况表</w:t>
      </w:r>
    </w:p>
    <w:p>
      <w:pPr>
        <w:autoSpaceDE w:val="0"/>
        <w:autoSpaceDN w:val="0"/>
        <w:adjustRightInd w:val="0"/>
        <w:spacing w:line="433" w:lineRule="atLeast"/>
        <w:jc w:val="left"/>
        <w:rPr>
          <w:rFonts w:ascii="宋体" w:hAnsi="Times New Roman"/>
          <w:color w:val="000000"/>
          <w:kern w:val="0"/>
          <w:sz w:val="28"/>
          <w:szCs w:val="28"/>
        </w:rPr>
      </w:pPr>
    </w:p>
    <w:p>
      <w:pPr>
        <w:autoSpaceDE w:val="0"/>
        <w:autoSpaceDN w:val="0"/>
        <w:adjustRightInd w:val="0"/>
        <w:spacing w:line="433" w:lineRule="atLeast"/>
        <w:jc w:val="left"/>
        <w:rPr>
          <w:rFonts w:hint="default" w:ascii="宋体" w:hAnsi="Times New Roman" w:eastAsiaTheme="minorEastAsia"/>
          <w:color w:val="000000"/>
          <w:kern w:val="0"/>
          <w:sz w:val="28"/>
          <w:szCs w:val="28"/>
          <w:lang w:val="en-US" w:eastAsia="zh-CN"/>
        </w:rPr>
      </w:pPr>
      <w:r>
        <w:rPr>
          <w:rFonts w:hint="eastAsia" w:ascii="宋体" w:hAnsi="Times New Roman"/>
          <w:color w:val="000000"/>
          <w:kern w:val="0"/>
          <w:sz w:val="28"/>
          <w:szCs w:val="28"/>
          <w:lang w:val="en-US" w:eastAsia="zh-CN"/>
        </w:rPr>
        <w:t xml:space="preserve">                                          广西动力技工学校</w:t>
      </w:r>
    </w:p>
    <w:p>
      <w:pPr>
        <w:tabs>
          <w:tab w:val="center" w:pos="4475"/>
        </w:tabs>
        <w:snapToGrid w:val="0"/>
        <w:spacing w:line="590" w:lineRule="exact"/>
        <w:ind w:firstLine="645"/>
        <w:rPr>
          <w:rFonts w:hint="default" w:ascii="宋体" w:hAnsi="Times New Roman"/>
          <w:color w:val="000000"/>
          <w:kern w:val="0"/>
          <w:sz w:val="28"/>
          <w:szCs w:val="28"/>
          <w:lang w:val="en-US" w:eastAsia="zh-CN"/>
        </w:rPr>
      </w:pPr>
      <w:r>
        <w:rPr>
          <w:rFonts w:hint="eastAsia" w:ascii="黑体" w:eastAsia="黑体"/>
          <w:b/>
          <w:bCs/>
          <w:sz w:val="32"/>
          <w:szCs w:val="32"/>
          <w:lang w:val="en-US" w:eastAsia="zh-CN"/>
        </w:rPr>
        <w:t xml:space="preserve">                                 </w:t>
      </w:r>
      <w:r>
        <w:rPr>
          <w:rFonts w:hint="eastAsia" w:ascii="宋体" w:hAnsi="Times New Roman"/>
          <w:color w:val="000000"/>
          <w:kern w:val="0"/>
          <w:sz w:val="28"/>
          <w:szCs w:val="28"/>
          <w:lang w:val="en-US" w:eastAsia="zh-CN"/>
        </w:rPr>
        <w:t>2022年2月23日</w:t>
      </w:r>
    </w:p>
    <w:p>
      <w:pPr>
        <w:autoSpaceDE w:val="0"/>
        <w:autoSpaceDN w:val="0"/>
        <w:adjustRightInd w:val="0"/>
        <w:spacing w:line="433" w:lineRule="atLeast"/>
        <w:jc w:val="left"/>
        <w:rPr>
          <w:rFonts w:ascii="宋体" w:hAnsi="Times New Roman"/>
          <w:bCs/>
          <w:kern w:val="0"/>
          <w:sz w:val="28"/>
          <w:szCs w:val="28"/>
        </w:rPr>
      </w:pPr>
    </w:p>
    <w:p>
      <w:pPr>
        <w:tabs>
          <w:tab w:val="center" w:pos="4475"/>
        </w:tabs>
        <w:snapToGrid w:val="0"/>
        <w:spacing w:line="590" w:lineRule="exact"/>
        <w:ind w:firstLine="645"/>
        <w:rPr>
          <w:rFonts w:hint="eastAsia" w:ascii="楷体_GB2312" w:eastAsia="楷体_GB2312"/>
          <w:sz w:val="32"/>
          <w:szCs w:val="32"/>
        </w:rPr>
      </w:pPr>
      <w:r>
        <w:rPr>
          <w:rFonts w:ascii="宋体" w:hAnsi="Times New Roman"/>
          <w:bCs/>
          <w:kern w:val="0"/>
          <w:sz w:val="28"/>
          <w:szCs w:val="28"/>
        </w:rPr>
        <w:t xml:space="preserve">         </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F5F658"/>
    <w:multiLevelType w:val="singleLevel"/>
    <w:tmpl w:val="49F5F658"/>
    <w:lvl w:ilvl="0" w:tentative="0">
      <w:start w:val="1"/>
      <w:numFmt w:val="chineseCounting"/>
      <w:suff w:val="nothing"/>
      <w:lvlText w:val="（%1）"/>
      <w:lvlJc w:val="left"/>
      <w:pPr>
        <w:ind w:left="-1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YTQ3NTEzZTQxZjU3NGZkYjUzMjJmZTNhODU4MzAifQ=="/>
  </w:docVars>
  <w:rsids>
    <w:rsidRoot w:val="00000000"/>
    <w:rsid w:val="0005121E"/>
    <w:rsid w:val="0009546D"/>
    <w:rsid w:val="00340FCE"/>
    <w:rsid w:val="004F002B"/>
    <w:rsid w:val="00665BAD"/>
    <w:rsid w:val="017F376C"/>
    <w:rsid w:val="02071743"/>
    <w:rsid w:val="024B7F46"/>
    <w:rsid w:val="039C68E1"/>
    <w:rsid w:val="04D96F82"/>
    <w:rsid w:val="05231FBD"/>
    <w:rsid w:val="05657F09"/>
    <w:rsid w:val="056D178C"/>
    <w:rsid w:val="063259D5"/>
    <w:rsid w:val="064E444E"/>
    <w:rsid w:val="06FD074B"/>
    <w:rsid w:val="07375554"/>
    <w:rsid w:val="07454C23"/>
    <w:rsid w:val="074C64CA"/>
    <w:rsid w:val="07B7677E"/>
    <w:rsid w:val="07D7489F"/>
    <w:rsid w:val="07EC0519"/>
    <w:rsid w:val="08661D33"/>
    <w:rsid w:val="0909200D"/>
    <w:rsid w:val="094D044F"/>
    <w:rsid w:val="09500BA4"/>
    <w:rsid w:val="09B16CD0"/>
    <w:rsid w:val="0A5B16CC"/>
    <w:rsid w:val="0B20773D"/>
    <w:rsid w:val="0B854FEE"/>
    <w:rsid w:val="0C387074"/>
    <w:rsid w:val="0C886EAB"/>
    <w:rsid w:val="0CB322B0"/>
    <w:rsid w:val="0D434E6E"/>
    <w:rsid w:val="0D594394"/>
    <w:rsid w:val="0D6D42A6"/>
    <w:rsid w:val="0E192CC5"/>
    <w:rsid w:val="0E906486"/>
    <w:rsid w:val="0EF350FA"/>
    <w:rsid w:val="0F20786F"/>
    <w:rsid w:val="0F5660E4"/>
    <w:rsid w:val="0F882841"/>
    <w:rsid w:val="0FB41B54"/>
    <w:rsid w:val="0FE140DB"/>
    <w:rsid w:val="10047981"/>
    <w:rsid w:val="10683164"/>
    <w:rsid w:val="109C6DC5"/>
    <w:rsid w:val="10A40E9D"/>
    <w:rsid w:val="10D73583"/>
    <w:rsid w:val="11D92043"/>
    <w:rsid w:val="120E094A"/>
    <w:rsid w:val="1253403E"/>
    <w:rsid w:val="128C15BF"/>
    <w:rsid w:val="12AF0964"/>
    <w:rsid w:val="12BD3BD7"/>
    <w:rsid w:val="12C26906"/>
    <w:rsid w:val="14570898"/>
    <w:rsid w:val="14E95497"/>
    <w:rsid w:val="15E25085"/>
    <w:rsid w:val="16761E62"/>
    <w:rsid w:val="16F87C5F"/>
    <w:rsid w:val="17036404"/>
    <w:rsid w:val="170A77DE"/>
    <w:rsid w:val="175D69D9"/>
    <w:rsid w:val="17BB387D"/>
    <w:rsid w:val="181B1BE9"/>
    <w:rsid w:val="18732568"/>
    <w:rsid w:val="187D1E06"/>
    <w:rsid w:val="19064517"/>
    <w:rsid w:val="19944EB2"/>
    <w:rsid w:val="1A284EFC"/>
    <w:rsid w:val="1A6210A0"/>
    <w:rsid w:val="1AB03E6C"/>
    <w:rsid w:val="1AC10549"/>
    <w:rsid w:val="1AD7414F"/>
    <w:rsid w:val="1AEE4F36"/>
    <w:rsid w:val="1AF8269D"/>
    <w:rsid w:val="1B132C31"/>
    <w:rsid w:val="1B145C2E"/>
    <w:rsid w:val="1B491CDF"/>
    <w:rsid w:val="1BE22A63"/>
    <w:rsid w:val="1C6639E2"/>
    <w:rsid w:val="1C674690"/>
    <w:rsid w:val="1CBC0A0E"/>
    <w:rsid w:val="1D1D3148"/>
    <w:rsid w:val="1D3F63CA"/>
    <w:rsid w:val="1D631366"/>
    <w:rsid w:val="1DB52F36"/>
    <w:rsid w:val="1DC05687"/>
    <w:rsid w:val="1DD153E3"/>
    <w:rsid w:val="1E0202B1"/>
    <w:rsid w:val="1E1C5A2D"/>
    <w:rsid w:val="1F5C5FA7"/>
    <w:rsid w:val="1F9C34C0"/>
    <w:rsid w:val="1FFC02DE"/>
    <w:rsid w:val="2020672A"/>
    <w:rsid w:val="203B4CDD"/>
    <w:rsid w:val="20472FD2"/>
    <w:rsid w:val="20634E9A"/>
    <w:rsid w:val="20A8663C"/>
    <w:rsid w:val="2127683B"/>
    <w:rsid w:val="215D6F7A"/>
    <w:rsid w:val="216D77C7"/>
    <w:rsid w:val="21721EAD"/>
    <w:rsid w:val="223D6D2F"/>
    <w:rsid w:val="225548E1"/>
    <w:rsid w:val="22F77289"/>
    <w:rsid w:val="245E07C9"/>
    <w:rsid w:val="246A03C0"/>
    <w:rsid w:val="24BA341D"/>
    <w:rsid w:val="24E135A0"/>
    <w:rsid w:val="24EB39CC"/>
    <w:rsid w:val="258C1189"/>
    <w:rsid w:val="25B4509E"/>
    <w:rsid w:val="25BD5C55"/>
    <w:rsid w:val="25FA7135"/>
    <w:rsid w:val="27A25EE7"/>
    <w:rsid w:val="27AC5CEC"/>
    <w:rsid w:val="27DE6352"/>
    <w:rsid w:val="28450AD8"/>
    <w:rsid w:val="296F4376"/>
    <w:rsid w:val="298C6D50"/>
    <w:rsid w:val="2A0539B0"/>
    <w:rsid w:val="2A1804C8"/>
    <w:rsid w:val="2A873325"/>
    <w:rsid w:val="2AFA6163"/>
    <w:rsid w:val="2AFE528F"/>
    <w:rsid w:val="2B215C41"/>
    <w:rsid w:val="2BD31DA7"/>
    <w:rsid w:val="2BEF7C2A"/>
    <w:rsid w:val="2C8273F8"/>
    <w:rsid w:val="2D8D42BC"/>
    <w:rsid w:val="2DF35D7E"/>
    <w:rsid w:val="2E0F6E65"/>
    <w:rsid w:val="2E1F3F9D"/>
    <w:rsid w:val="2E297FD3"/>
    <w:rsid w:val="2E522BB4"/>
    <w:rsid w:val="2EFB13CC"/>
    <w:rsid w:val="2F794CCA"/>
    <w:rsid w:val="2F8F58F2"/>
    <w:rsid w:val="30044F5F"/>
    <w:rsid w:val="306810C9"/>
    <w:rsid w:val="3135731D"/>
    <w:rsid w:val="313E3D9B"/>
    <w:rsid w:val="31D9148B"/>
    <w:rsid w:val="32127F18"/>
    <w:rsid w:val="321C5BD5"/>
    <w:rsid w:val="324007E1"/>
    <w:rsid w:val="32933B89"/>
    <w:rsid w:val="32BD2B5B"/>
    <w:rsid w:val="32CE7E59"/>
    <w:rsid w:val="338B1EEE"/>
    <w:rsid w:val="34424694"/>
    <w:rsid w:val="34D00791"/>
    <w:rsid w:val="34D77415"/>
    <w:rsid w:val="35063A7A"/>
    <w:rsid w:val="35256506"/>
    <w:rsid w:val="35B24567"/>
    <w:rsid w:val="35E565BB"/>
    <w:rsid w:val="361B79B8"/>
    <w:rsid w:val="36BB6D1D"/>
    <w:rsid w:val="37627A5E"/>
    <w:rsid w:val="377D6B5F"/>
    <w:rsid w:val="37A723EE"/>
    <w:rsid w:val="37F16306"/>
    <w:rsid w:val="38586765"/>
    <w:rsid w:val="38700915"/>
    <w:rsid w:val="390842E0"/>
    <w:rsid w:val="390864C9"/>
    <w:rsid w:val="3928789B"/>
    <w:rsid w:val="39631B60"/>
    <w:rsid w:val="3A8D5F60"/>
    <w:rsid w:val="3AD46C94"/>
    <w:rsid w:val="3AF57E7A"/>
    <w:rsid w:val="3B4875D1"/>
    <w:rsid w:val="3C395948"/>
    <w:rsid w:val="3CCB2D97"/>
    <w:rsid w:val="3CD57CC1"/>
    <w:rsid w:val="3CEC6325"/>
    <w:rsid w:val="3D52489C"/>
    <w:rsid w:val="3D6A17E0"/>
    <w:rsid w:val="3D8C5F4C"/>
    <w:rsid w:val="3D905038"/>
    <w:rsid w:val="3DB1595C"/>
    <w:rsid w:val="3DB95E99"/>
    <w:rsid w:val="3DC4518C"/>
    <w:rsid w:val="3E0165FE"/>
    <w:rsid w:val="3E082662"/>
    <w:rsid w:val="3F42619D"/>
    <w:rsid w:val="3F446B2F"/>
    <w:rsid w:val="3F9C243C"/>
    <w:rsid w:val="3FB755D0"/>
    <w:rsid w:val="3FBF122C"/>
    <w:rsid w:val="40113745"/>
    <w:rsid w:val="401766C4"/>
    <w:rsid w:val="408A525F"/>
    <w:rsid w:val="40A955E3"/>
    <w:rsid w:val="41460BFF"/>
    <w:rsid w:val="41463635"/>
    <w:rsid w:val="418F0974"/>
    <w:rsid w:val="42392ED1"/>
    <w:rsid w:val="42E34B80"/>
    <w:rsid w:val="431B5CCE"/>
    <w:rsid w:val="43902D90"/>
    <w:rsid w:val="43B96102"/>
    <w:rsid w:val="441523EC"/>
    <w:rsid w:val="443C2173"/>
    <w:rsid w:val="44F97E13"/>
    <w:rsid w:val="45327452"/>
    <w:rsid w:val="46014511"/>
    <w:rsid w:val="468F71D3"/>
    <w:rsid w:val="46A15DA6"/>
    <w:rsid w:val="472E3E4B"/>
    <w:rsid w:val="47764680"/>
    <w:rsid w:val="478770C3"/>
    <w:rsid w:val="47AE3821"/>
    <w:rsid w:val="47AF0230"/>
    <w:rsid w:val="4878430F"/>
    <w:rsid w:val="4889099F"/>
    <w:rsid w:val="48FF57C6"/>
    <w:rsid w:val="49343953"/>
    <w:rsid w:val="49900141"/>
    <w:rsid w:val="49DF190D"/>
    <w:rsid w:val="4A5B1847"/>
    <w:rsid w:val="4AC917F1"/>
    <w:rsid w:val="4ACC256E"/>
    <w:rsid w:val="4B035377"/>
    <w:rsid w:val="4B13458D"/>
    <w:rsid w:val="4BA1626C"/>
    <w:rsid w:val="4BA35930"/>
    <w:rsid w:val="4BE456E5"/>
    <w:rsid w:val="4C742DA4"/>
    <w:rsid w:val="4D247B17"/>
    <w:rsid w:val="4D667B3C"/>
    <w:rsid w:val="4DBB3983"/>
    <w:rsid w:val="4EC93CCF"/>
    <w:rsid w:val="4F275AD4"/>
    <w:rsid w:val="4FA51959"/>
    <w:rsid w:val="50A152B3"/>
    <w:rsid w:val="515A2311"/>
    <w:rsid w:val="51C05232"/>
    <w:rsid w:val="51C51F80"/>
    <w:rsid w:val="5248643B"/>
    <w:rsid w:val="54217181"/>
    <w:rsid w:val="54D020E1"/>
    <w:rsid w:val="54E964C6"/>
    <w:rsid w:val="553A18B8"/>
    <w:rsid w:val="556B4EC5"/>
    <w:rsid w:val="55BF6AA2"/>
    <w:rsid w:val="55E77D6B"/>
    <w:rsid w:val="55F21244"/>
    <w:rsid w:val="561C6A37"/>
    <w:rsid w:val="564A6F3C"/>
    <w:rsid w:val="565B5582"/>
    <w:rsid w:val="56A97E78"/>
    <w:rsid w:val="57411EE9"/>
    <w:rsid w:val="574A770C"/>
    <w:rsid w:val="578E13A2"/>
    <w:rsid w:val="58176804"/>
    <w:rsid w:val="58DD5CD2"/>
    <w:rsid w:val="59074B27"/>
    <w:rsid w:val="591075D9"/>
    <w:rsid w:val="59665A19"/>
    <w:rsid w:val="596E5477"/>
    <w:rsid w:val="59D22907"/>
    <w:rsid w:val="5A2F0D6D"/>
    <w:rsid w:val="5A6217BD"/>
    <w:rsid w:val="5BEF4B65"/>
    <w:rsid w:val="5C753FE2"/>
    <w:rsid w:val="5C912996"/>
    <w:rsid w:val="5CAB3497"/>
    <w:rsid w:val="5D1A6B95"/>
    <w:rsid w:val="5DAE5411"/>
    <w:rsid w:val="5DC834D8"/>
    <w:rsid w:val="5DCC7F73"/>
    <w:rsid w:val="5DE241BB"/>
    <w:rsid w:val="5E2339E1"/>
    <w:rsid w:val="5E5F32D0"/>
    <w:rsid w:val="5F3B6615"/>
    <w:rsid w:val="5F8959E7"/>
    <w:rsid w:val="5FB21B74"/>
    <w:rsid w:val="5FCA185D"/>
    <w:rsid w:val="5FEC0ADE"/>
    <w:rsid w:val="607F2B07"/>
    <w:rsid w:val="60F25BFD"/>
    <w:rsid w:val="616B60B2"/>
    <w:rsid w:val="616E0186"/>
    <w:rsid w:val="61EF2F01"/>
    <w:rsid w:val="62377452"/>
    <w:rsid w:val="626E4DBD"/>
    <w:rsid w:val="627B6A34"/>
    <w:rsid w:val="62B73934"/>
    <w:rsid w:val="62F71BD5"/>
    <w:rsid w:val="63B576AB"/>
    <w:rsid w:val="643C4BBE"/>
    <w:rsid w:val="644C2A91"/>
    <w:rsid w:val="64E93180"/>
    <w:rsid w:val="650D5F8E"/>
    <w:rsid w:val="65733519"/>
    <w:rsid w:val="660109D5"/>
    <w:rsid w:val="66391DCC"/>
    <w:rsid w:val="66703B74"/>
    <w:rsid w:val="66E267B8"/>
    <w:rsid w:val="67957525"/>
    <w:rsid w:val="684E77D6"/>
    <w:rsid w:val="68CA77A4"/>
    <w:rsid w:val="68F760C0"/>
    <w:rsid w:val="692C5907"/>
    <w:rsid w:val="69312878"/>
    <w:rsid w:val="69385125"/>
    <w:rsid w:val="69842564"/>
    <w:rsid w:val="69877444"/>
    <w:rsid w:val="69E0676E"/>
    <w:rsid w:val="6A2F2530"/>
    <w:rsid w:val="6A5932CE"/>
    <w:rsid w:val="6A694D9B"/>
    <w:rsid w:val="6AE41C80"/>
    <w:rsid w:val="6AE81F19"/>
    <w:rsid w:val="6B083BC0"/>
    <w:rsid w:val="6BBA13D0"/>
    <w:rsid w:val="6BD74133"/>
    <w:rsid w:val="6C0E4B52"/>
    <w:rsid w:val="6C9044BB"/>
    <w:rsid w:val="6CCF1391"/>
    <w:rsid w:val="6CE73482"/>
    <w:rsid w:val="6D1920B1"/>
    <w:rsid w:val="6D5E7580"/>
    <w:rsid w:val="6D856D87"/>
    <w:rsid w:val="6DCA69DB"/>
    <w:rsid w:val="6E835799"/>
    <w:rsid w:val="6EAB0927"/>
    <w:rsid w:val="6EDF1835"/>
    <w:rsid w:val="6EEA54D7"/>
    <w:rsid w:val="6F6124E5"/>
    <w:rsid w:val="6F670203"/>
    <w:rsid w:val="700C669C"/>
    <w:rsid w:val="70FD2BDE"/>
    <w:rsid w:val="717B62A7"/>
    <w:rsid w:val="71B46487"/>
    <w:rsid w:val="71D25C98"/>
    <w:rsid w:val="71DE5133"/>
    <w:rsid w:val="71E024C2"/>
    <w:rsid w:val="721B6C5B"/>
    <w:rsid w:val="728A31AB"/>
    <w:rsid w:val="72C94290"/>
    <w:rsid w:val="73066839"/>
    <w:rsid w:val="73382E94"/>
    <w:rsid w:val="73967F0A"/>
    <w:rsid w:val="739831C1"/>
    <w:rsid w:val="74790D09"/>
    <w:rsid w:val="74A22D48"/>
    <w:rsid w:val="74B241EB"/>
    <w:rsid w:val="754A2FAF"/>
    <w:rsid w:val="755250CA"/>
    <w:rsid w:val="764A71C7"/>
    <w:rsid w:val="769530A5"/>
    <w:rsid w:val="76E30DDA"/>
    <w:rsid w:val="77043E1C"/>
    <w:rsid w:val="771D0BF4"/>
    <w:rsid w:val="776E5F9A"/>
    <w:rsid w:val="779216E6"/>
    <w:rsid w:val="784C1F84"/>
    <w:rsid w:val="78962239"/>
    <w:rsid w:val="78AA08DB"/>
    <w:rsid w:val="79BD7C03"/>
    <w:rsid w:val="7A4D0328"/>
    <w:rsid w:val="7A791CC0"/>
    <w:rsid w:val="7AB05D2D"/>
    <w:rsid w:val="7ACF7286"/>
    <w:rsid w:val="7B4959DA"/>
    <w:rsid w:val="7BA012A8"/>
    <w:rsid w:val="7BC21475"/>
    <w:rsid w:val="7C042473"/>
    <w:rsid w:val="7C200AF7"/>
    <w:rsid w:val="7C5E5708"/>
    <w:rsid w:val="7C9932BE"/>
    <w:rsid w:val="7CFE5817"/>
    <w:rsid w:val="7D0769E7"/>
    <w:rsid w:val="7D8201F6"/>
    <w:rsid w:val="7D95709C"/>
    <w:rsid w:val="7E3401BA"/>
    <w:rsid w:val="7EDE316C"/>
    <w:rsid w:val="7F0C77D4"/>
    <w:rsid w:val="7F370A82"/>
    <w:rsid w:val="7F643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1"/>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paragraph" w:customStyle="1" w:styleId="9">
    <w:name w:val="Normal (Web)_75b00296-1fb5-46f8-a515-e390848f0384"/>
    <w:basedOn w:val="1"/>
    <w:qFormat/>
    <w:uiPriority w:val="0"/>
    <w:pPr>
      <w:spacing w:beforeAutospacing="1" w:afterAutospacing="1"/>
      <w:jc w:val="left"/>
    </w:pPr>
    <w:rPr>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2021-02-24T07:19:00Z</dcterms:created>
  <dc:creator>Administrator</dc:creator>
  <cp:lastModifiedBy>天为谁香</cp:lastModifiedBy>
  <dcterms:modified xsi:type="dcterms:W3CDTF">2023-09-22T07:54:07Z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F6B70852376C4C509D955C2144C93619</vt:lpwstr>
  </property>
</Properties>
</file>