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6B3FD7">
      <w:pPr>
        <w:adjustRightInd w:val="0"/>
        <w:snapToGrid w:val="0"/>
        <w:spacing w:line="560" w:lineRule="exact"/>
        <w:ind w:right="-333" w:rightChars="-104"/>
        <w:jc w:val="center"/>
        <w:rPr>
          <w:rFonts w:hint="eastAsia" w:ascii="黑体" w:hAnsi="宋体" w:eastAsia="方正小标宋简体"/>
          <w:bCs/>
          <w:szCs w:val="32"/>
          <w:lang w:eastAsia="zh-CN"/>
        </w:rPr>
      </w:pPr>
      <w:r>
        <w:rPr>
          <w:rFonts w:hint="eastAsia" w:ascii="方正小标宋简体" w:eastAsia="方正小标宋简体"/>
          <w:sz w:val="44"/>
          <w:szCs w:val="44"/>
          <w:lang w:val="en-US" w:eastAsia="zh-CN"/>
        </w:rPr>
        <w:t>广西动力技工学校</w:t>
      </w:r>
      <w:r>
        <w:rPr>
          <w:rFonts w:hint="eastAsia" w:ascii="方正小标宋简体" w:eastAsia="方正小标宋简体"/>
          <w:sz w:val="44"/>
          <w:szCs w:val="44"/>
        </w:rPr>
        <w:t>202</w:t>
      </w:r>
      <w:r>
        <w:rPr>
          <w:rFonts w:hint="eastAsia" w:ascii="方正小标宋简体" w:eastAsia="方正小标宋简体"/>
          <w:sz w:val="44"/>
          <w:szCs w:val="44"/>
          <w:lang w:val="en-US" w:eastAsia="zh-CN"/>
        </w:rPr>
        <w:t>5</w:t>
      </w:r>
      <w:r>
        <w:rPr>
          <w:rFonts w:hint="eastAsia" w:ascii="方正小标宋简体" w:eastAsia="方正小标宋简体"/>
          <w:sz w:val="44"/>
          <w:szCs w:val="44"/>
        </w:rPr>
        <w:t>年单位预算公开</w:t>
      </w:r>
      <w:r>
        <w:rPr>
          <w:rFonts w:hint="eastAsia" w:ascii="方正小标宋简体" w:eastAsia="方正小标宋简体"/>
          <w:sz w:val="44"/>
          <w:szCs w:val="44"/>
          <w:lang w:eastAsia="zh-CN"/>
        </w:rPr>
        <w:t>说明</w:t>
      </w:r>
    </w:p>
    <w:p w14:paraId="2E10D6E8">
      <w:pPr>
        <w:adjustRightInd w:val="0"/>
        <w:snapToGrid w:val="0"/>
        <w:spacing w:line="560" w:lineRule="exact"/>
        <w:ind w:right="-333" w:rightChars="-104"/>
        <w:jc w:val="center"/>
        <w:rPr>
          <w:rFonts w:hint="eastAsia" w:ascii="黑体" w:hAnsi="宋体" w:eastAsia="黑体"/>
          <w:bCs/>
          <w:szCs w:val="32"/>
        </w:rPr>
      </w:pPr>
    </w:p>
    <w:p w14:paraId="544409B1">
      <w:pPr>
        <w:adjustRightInd w:val="0"/>
        <w:snapToGrid w:val="0"/>
        <w:spacing w:line="560" w:lineRule="exact"/>
        <w:ind w:right="-333" w:rightChars="-104"/>
        <w:jc w:val="center"/>
        <w:rPr>
          <w:rFonts w:hint="eastAsia" w:ascii="黑体" w:hAnsi="宋体" w:eastAsia="黑体"/>
          <w:bCs/>
          <w:szCs w:val="32"/>
        </w:rPr>
      </w:pPr>
      <w:r>
        <w:rPr>
          <w:rFonts w:hint="eastAsia" w:ascii="黑体" w:hAnsi="宋体" w:eastAsia="黑体"/>
          <w:bCs/>
          <w:szCs w:val="32"/>
        </w:rPr>
        <w:t>目  录</w:t>
      </w:r>
    </w:p>
    <w:p w14:paraId="77B5C169">
      <w:pPr>
        <w:adjustRightInd w:val="0"/>
        <w:snapToGrid w:val="0"/>
        <w:spacing w:line="560" w:lineRule="exact"/>
        <w:ind w:right="-333" w:rightChars="-104" w:firstLine="640" w:firstLineChars="200"/>
        <w:rPr>
          <w:rFonts w:hint="eastAsia" w:ascii="黑体" w:hAnsi="宋体" w:eastAsia="黑体"/>
          <w:bCs/>
          <w:szCs w:val="32"/>
        </w:rPr>
      </w:pPr>
    </w:p>
    <w:p w14:paraId="2B59E97F">
      <w:pPr>
        <w:adjustRightInd w:val="0"/>
        <w:snapToGrid w:val="0"/>
        <w:spacing w:line="560" w:lineRule="exact"/>
        <w:ind w:right="-333" w:rightChars="-104" w:firstLine="640" w:firstLineChars="200"/>
        <w:rPr>
          <w:rFonts w:hint="eastAsia" w:ascii="黑体" w:hAnsi="宋体" w:eastAsia="黑体"/>
          <w:bCs/>
          <w:szCs w:val="32"/>
        </w:rPr>
      </w:pPr>
      <w:r>
        <w:rPr>
          <w:rFonts w:hint="eastAsia" w:ascii="黑体" w:hAnsi="宋体" w:eastAsia="黑体"/>
          <w:bCs/>
          <w:szCs w:val="32"/>
        </w:rPr>
        <w:t>第一部分：单位概况</w:t>
      </w:r>
    </w:p>
    <w:p w14:paraId="4CF94D0E">
      <w:pPr>
        <w:adjustRightInd w:val="0"/>
        <w:snapToGrid w:val="0"/>
        <w:spacing w:line="560" w:lineRule="exact"/>
        <w:ind w:right="-333" w:rightChars="-104" w:firstLine="640" w:firstLineChars="200"/>
        <w:rPr>
          <w:rFonts w:hint="eastAsia" w:ascii="黑体" w:hAnsi="宋体" w:eastAsia="黑体"/>
          <w:bCs/>
          <w:szCs w:val="32"/>
        </w:rPr>
      </w:pPr>
    </w:p>
    <w:p w14:paraId="42B9C0E2">
      <w:pPr>
        <w:adjustRightInd w:val="0"/>
        <w:snapToGrid w:val="0"/>
        <w:spacing w:line="560" w:lineRule="exact"/>
        <w:ind w:right="-333" w:rightChars="-104" w:firstLine="640" w:firstLineChars="200"/>
        <w:rPr>
          <w:rFonts w:hint="eastAsia" w:ascii="黑体" w:hAnsi="宋体" w:eastAsia="黑体"/>
          <w:bCs/>
          <w:szCs w:val="32"/>
        </w:rPr>
      </w:pPr>
      <w:r>
        <w:rPr>
          <w:rFonts w:hint="eastAsia" w:ascii="黑体" w:eastAsia="黑体"/>
          <w:szCs w:val="32"/>
        </w:rPr>
        <w:t>第二部分：</w:t>
      </w:r>
      <w:r>
        <w:rPr>
          <w:rFonts w:hint="eastAsia" w:ascii="黑体" w:hAnsi="宋体" w:eastAsia="黑体"/>
          <w:szCs w:val="32"/>
          <w:lang w:val="en-US" w:eastAsia="zh-CN"/>
        </w:rPr>
        <w:t>广西动力技工学校</w:t>
      </w:r>
      <w:r>
        <w:rPr>
          <w:rFonts w:hint="eastAsia" w:ascii="黑体" w:hAnsi="宋体" w:eastAsia="黑体"/>
          <w:szCs w:val="32"/>
        </w:rPr>
        <w:t>202</w:t>
      </w:r>
      <w:r>
        <w:rPr>
          <w:rFonts w:hint="eastAsia" w:ascii="黑体" w:hAnsi="宋体" w:eastAsia="黑体"/>
          <w:szCs w:val="32"/>
          <w:lang w:val="en-US" w:eastAsia="zh-CN"/>
        </w:rPr>
        <w:t>5</w:t>
      </w:r>
      <w:r>
        <w:rPr>
          <w:rFonts w:hint="eastAsia" w:ascii="黑体" w:hAnsi="宋体" w:eastAsia="黑体"/>
          <w:szCs w:val="32"/>
        </w:rPr>
        <w:t>年</w:t>
      </w:r>
      <w:r>
        <w:rPr>
          <w:rFonts w:hint="eastAsia" w:ascii="黑体" w:eastAsia="黑体"/>
          <w:szCs w:val="32"/>
        </w:rPr>
        <w:t>单位预算情况说明</w:t>
      </w:r>
    </w:p>
    <w:p w14:paraId="44E58F01">
      <w:pPr>
        <w:adjustRightInd w:val="0"/>
        <w:snapToGrid w:val="0"/>
        <w:spacing w:line="560" w:lineRule="exact"/>
        <w:ind w:right="-333" w:rightChars="-104" w:firstLine="640" w:firstLineChars="200"/>
        <w:rPr>
          <w:rFonts w:hint="eastAsia" w:ascii="黑体" w:hAnsi="宋体" w:eastAsia="黑体"/>
          <w:bCs/>
          <w:szCs w:val="32"/>
        </w:rPr>
      </w:pPr>
    </w:p>
    <w:p w14:paraId="6164673E">
      <w:pPr>
        <w:adjustRightInd w:val="0"/>
        <w:snapToGrid w:val="0"/>
        <w:spacing w:line="560" w:lineRule="exact"/>
        <w:ind w:right="-333" w:rightChars="-104" w:firstLine="640" w:firstLineChars="200"/>
        <w:rPr>
          <w:rFonts w:hint="eastAsia" w:ascii="黑体" w:hAnsi="宋体" w:eastAsia="黑体"/>
          <w:bCs/>
          <w:szCs w:val="32"/>
        </w:rPr>
      </w:pPr>
      <w:r>
        <w:rPr>
          <w:rFonts w:hint="eastAsia" w:ascii="黑体" w:eastAsia="黑体"/>
          <w:szCs w:val="32"/>
        </w:rPr>
        <w:t>第三部分：名词解释</w:t>
      </w:r>
    </w:p>
    <w:p w14:paraId="3B1766E9">
      <w:pPr>
        <w:adjustRightInd w:val="0"/>
        <w:snapToGrid w:val="0"/>
        <w:spacing w:line="560" w:lineRule="exact"/>
        <w:ind w:right="-333" w:rightChars="-104" w:firstLine="640" w:firstLineChars="200"/>
        <w:rPr>
          <w:rFonts w:hint="eastAsia" w:ascii="黑体" w:hAnsi="宋体" w:eastAsia="黑体"/>
          <w:bCs/>
          <w:szCs w:val="32"/>
        </w:rPr>
      </w:pPr>
    </w:p>
    <w:p w14:paraId="07594108">
      <w:pPr>
        <w:adjustRightInd w:val="0"/>
        <w:snapToGrid w:val="0"/>
        <w:spacing w:line="560" w:lineRule="exact"/>
        <w:ind w:right="-333" w:rightChars="-104" w:firstLine="640" w:firstLineChars="200"/>
        <w:rPr>
          <w:rFonts w:hint="eastAsia" w:ascii="黑体" w:hAnsi="宋体" w:eastAsia="黑体"/>
          <w:bCs/>
          <w:szCs w:val="32"/>
        </w:rPr>
      </w:pPr>
      <w:r>
        <w:rPr>
          <w:rFonts w:hint="eastAsia" w:ascii="黑体" w:hAnsi="宋体" w:eastAsia="黑体"/>
          <w:bCs/>
          <w:szCs w:val="32"/>
        </w:rPr>
        <w:t>第四部分：</w:t>
      </w:r>
      <w:r>
        <w:rPr>
          <w:rFonts w:hint="eastAsia" w:ascii="黑体" w:hAnsi="宋体" w:eastAsia="黑体"/>
          <w:szCs w:val="32"/>
          <w:lang w:val="en-US" w:eastAsia="zh-CN"/>
        </w:rPr>
        <w:t>广西动力技工学校</w:t>
      </w:r>
      <w:r>
        <w:rPr>
          <w:rFonts w:hint="eastAsia" w:ascii="黑体" w:hAnsi="宋体" w:eastAsia="黑体"/>
          <w:szCs w:val="32"/>
        </w:rPr>
        <w:t>202</w:t>
      </w:r>
      <w:r>
        <w:rPr>
          <w:rFonts w:hint="eastAsia" w:ascii="黑体" w:hAnsi="宋体" w:eastAsia="黑体"/>
          <w:szCs w:val="32"/>
          <w:lang w:val="en-US" w:eastAsia="zh-CN"/>
        </w:rPr>
        <w:t>5</w:t>
      </w:r>
      <w:r>
        <w:rPr>
          <w:rFonts w:hint="eastAsia" w:ascii="黑体" w:hAnsi="宋体" w:eastAsia="黑体"/>
          <w:szCs w:val="32"/>
        </w:rPr>
        <w:t>年</w:t>
      </w:r>
      <w:r>
        <w:rPr>
          <w:rFonts w:hint="eastAsia" w:ascii="黑体" w:eastAsia="黑体"/>
          <w:szCs w:val="32"/>
        </w:rPr>
        <w:t>单位预算公开报表</w:t>
      </w:r>
    </w:p>
    <w:p w14:paraId="15D7C6E2">
      <w:pPr>
        <w:adjustRightInd w:val="0"/>
        <w:snapToGrid w:val="0"/>
        <w:spacing w:line="560" w:lineRule="exact"/>
        <w:ind w:right="-333" w:rightChars="-104" w:firstLine="640" w:firstLineChars="200"/>
        <w:rPr>
          <w:rFonts w:hint="eastAsia" w:ascii="黑体" w:hAnsi="宋体" w:eastAsia="黑体"/>
          <w:bCs/>
          <w:szCs w:val="32"/>
        </w:rPr>
      </w:pPr>
    </w:p>
    <w:p w14:paraId="04034F55">
      <w:pPr>
        <w:adjustRightInd w:val="0"/>
        <w:snapToGrid w:val="0"/>
        <w:spacing w:line="560" w:lineRule="exact"/>
        <w:ind w:right="-333" w:rightChars="-104" w:firstLine="640" w:firstLineChars="200"/>
        <w:rPr>
          <w:rFonts w:hint="eastAsia" w:ascii="黑体" w:hAnsi="宋体" w:eastAsia="黑体"/>
          <w:bCs/>
          <w:szCs w:val="32"/>
        </w:rPr>
      </w:pPr>
    </w:p>
    <w:p w14:paraId="3DC05E80">
      <w:pPr>
        <w:adjustRightInd w:val="0"/>
        <w:snapToGrid w:val="0"/>
        <w:spacing w:line="560" w:lineRule="exact"/>
        <w:ind w:right="-333" w:rightChars="-104" w:firstLine="640" w:firstLineChars="200"/>
        <w:rPr>
          <w:rFonts w:hint="eastAsia" w:ascii="黑体" w:hAnsi="宋体" w:eastAsia="黑体"/>
          <w:bCs/>
          <w:szCs w:val="32"/>
        </w:rPr>
      </w:pPr>
    </w:p>
    <w:p w14:paraId="2C9AC737">
      <w:pPr>
        <w:adjustRightInd w:val="0"/>
        <w:snapToGrid w:val="0"/>
        <w:spacing w:line="560" w:lineRule="exact"/>
        <w:ind w:right="-333" w:rightChars="-104" w:firstLine="640" w:firstLineChars="200"/>
        <w:rPr>
          <w:rFonts w:hint="eastAsia" w:ascii="黑体" w:hAnsi="宋体" w:eastAsia="黑体"/>
          <w:bCs/>
          <w:szCs w:val="32"/>
        </w:rPr>
      </w:pPr>
    </w:p>
    <w:p w14:paraId="3E3F99B9">
      <w:pPr>
        <w:adjustRightInd w:val="0"/>
        <w:snapToGrid w:val="0"/>
        <w:spacing w:line="560" w:lineRule="exact"/>
        <w:ind w:right="-333" w:rightChars="-104" w:firstLine="640" w:firstLineChars="200"/>
        <w:rPr>
          <w:rFonts w:hint="eastAsia" w:ascii="黑体" w:hAnsi="宋体" w:eastAsia="黑体"/>
          <w:bCs/>
          <w:szCs w:val="32"/>
        </w:rPr>
      </w:pPr>
    </w:p>
    <w:p w14:paraId="03F8807A">
      <w:pPr>
        <w:adjustRightInd w:val="0"/>
        <w:snapToGrid w:val="0"/>
        <w:spacing w:line="560" w:lineRule="exact"/>
        <w:ind w:right="-333" w:rightChars="-104" w:firstLine="640" w:firstLineChars="200"/>
        <w:rPr>
          <w:rFonts w:hint="eastAsia" w:ascii="黑体" w:hAnsi="宋体" w:eastAsia="黑体"/>
          <w:bCs/>
          <w:szCs w:val="32"/>
        </w:rPr>
      </w:pPr>
    </w:p>
    <w:p w14:paraId="2515513B">
      <w:pPr>
        <w:adjustRightInd w:val="0"/>
        <w:snapToGrid w:val="0"/>
        <w:spacing w:line="560" w:lineRule="exact"/>
        <w:ind w:right="-333" w:rightChars="-104" w:firstLine="640" w:firstLineChars="200"/>
        <w:rPr>
          <w:rFonts w:hint="eastAsia" w:ascii="黑体" w:hAnsi="宋体" w:eastAsia="黑体"/>
          <w:bCs/>
          <w:szCs w:val="32"/>
        </w:rPr>
      </w:pPr>
    </w:p>
    <w:p w14:paraId="7A88C3EA">
      <w:pPr>
        <w:adjustRightInd w:val="0"/>
        <w:snapToGrid w:val="0"/>
        <w:spacing w:line="560" w:lineRule="exact"/>
        <w:ind w:right="-333" w:rightChars="-104" w:firstLine="640" w:firstLineChars="200"/>
        <w:rPr>
          <w:rFonts w:hint="eastAsia" w:ascii="黑体" w:hAnsi="宋体" w:eastAsia="黑体"/>
          <w:bCs/>
          <w:szCs w:val="32"/>
        </w:rPr>
      </w:pPr>
    </w:p>
    <w:p w14:paraId="7AEC08AA">
      <w:pPr>
        <w:adjustRightInd w:val="0"/>
        <w:snapToGrid w:val="0"/>
        <w:spacing w:line="560" w:lineRule="exact"/>
        <w:ind w:right="-333" w:rightChars="-104" w:firstLine="640" w:firstLineChars="200"/>
        <w:rPr>
          <w:rFonts w:hint="eastAsia" w:ascii="黑体" w:hAnsi="宋体" w:eastAsia="黑体"/>
          <w:bCs/>
          <w:szCs w:val="32"/>
        </w:rPr>
      </w:pPr>
    </w:p>
    <w:p w14:paraId="04BA0530">
      <w:pPr>
        <w:adjustRightInd w:val="0"/>
        <w:snapToGrid w:val="0"/>
        <w:spacing w:line="560" w:lineRule="exact"/>
        <w:ind w:right="-333" w:rightChars="-104" w:firstLine="640" w:firstLineChars="200"/>
        <w:rPr>
          <w:rFonts w:hint="eastAsia" w:ascii="黑体" w:hAnsi="宋体" w:eastAsia="黑体"/>
          <w:bCs/>
          <w:szCs w:val="32"/>
        </w:rPr>
      </w:pPr>
    </w:p>
    <w:p w14:paraId="4FC28A4C">
      <w:pPr>
        <w:adjustRightInd w:val="0"/>
        <w:snapToGrid w:val="0"/>
        <w:spacing w:line="560" w:lineRule="exact"/>
        <w:ind w:right="-333" w:rightChars="-104" w:firstLine="0" w:firstLineChars="0"/>
        <w:rPr>
          <w:rFonts w:hint="eastAsia" w:ascii="黑体" w:hAnsi="宋体" w:eastAsia="黑体"/>
          <w:bCs/>
          <w:szCs w:val="32"/>
        </w:rPr>
      </w:pPr>
    </w:p>
    <w:p w14:paraId="19751A31">
      <w:pPr>
        <w:adjustRightInd w:val="0"/>
        <w:snapToGrid w:val="0"/>
        <w:spacing w:line="560" w:lineRule="exact"/>
        <w:ind w:right="-333" w:rightChars="-104" w:firstLine="640" w:firstLineChars="200"/>
        <w:rPr>
          <w:rFonts w:hint="eastAsia" w:ascii="黑体" w:hAnsi="宋体" w:eastAsia="黑体"/>
          <w:bCs/>
          <w:szCs w:val="32"/>
        </w:rPr>
      </w:pPr>
      <w:r>
        <w:rPr>
          <w:rFonts w:hint="eastAsia" w:ascii="黑体" w:hAnsi="宋体" w:eastAsia="黑体"/>
          <w:bCs/>
          <w:szCs w:val="32"/>
        </w:rPr>
        <w:t>第一部分：单位概况</w:t>
      </w:r>
    </w:p>
    <w:p w14:paraId="642CBFFB">
      <w:pPr>
        <w:adjustRightInd w:val="0"/>
        <w:snapToGrid w:val="0"/>
        <w:spacing w:line="560" w:lineRule="exact"/>
        <w:ind w:right="-333" w:rightChars="-104" w:firstLine="640" w:firstLineChars="200"/>
        <w:rPr>
          <w:rFonts w:hint="eastAsia" w:ascii="黑体" w:hAnsi="宋体" w:eastAsia="黑体"/>
          <w:szCs w:val="32"/>
        </w:rPr>
      </w:pPr>
      <w:r>
        <w:rPr>
          <w:rFonts w:hint="eastAsia" w:ascii="黑体" w:hAnsi="宋体" w:eastAsia="黑体"/>
          <w:bCs/>
          <w:szCs w:val="32"/>
        </w:rPr>
        <w:t>一</w:t>
      </w:r>
      <w:r>
        <w:rPr>
          <w:rFonts w:hint="eastAsia" w:ascii="黑体" w:hAnsi="宋体" w:eastAsia="黑体"/>
          <w:szCs w:val="32"/>
        </w:rPr>
        <w:t>、单位主要职能</w:t>
      </w:r>
    </w:p>
    <w:p w14:paraId="1A9A74FB">
      <w:pPr>
        <w:spacing w:line="560" w:lineRule="exact"/>
        <w:ind w:firstLine="640" w:firstLineChars="200"/>
        <w:rPr>
          <w:rFonts w:hint="eastAsia" w:ascii="仿宋_GB2312" w:hAnsi="宋体"/>
          <w:szCs w:val="32"/>
          <w:u w:val="none"/>
          <w:lang w:eastAsia="zh-CN"/>
        </w:rPr>
      </w:pPr>
      <w:r>
        <w:rPr>
          <w:rFonts w:hint="eastAsia" w:ascii="仿宋_GB2312" w:hAnsi="宋体"/>
          <w:szCs w:val="32"/>
          <w:u w:val="none"/>
          <w:lang w:eastAsia="zh-CN"/>
        </w:rPr>
        <w:t>（一）广西动力技工学校创办于1980年，直属于广西应急管理厅，学校招收应届、历届初中、高中毕业生，学制为三年。</w:t>
      </w:r>
    </w:p>
    <w:p w14:paraId="440280C8">
      <w:pPr>
        <w:spacing w:line="560" w:lineRule="exact"/>
        <w:ind w:firstLine="640" w:firstLineChars="200"/>
        <w:rPr>
          <w:rFonts w:hint="eastAsia" w:ascii="仿宋_GB2312" w:hAnsi="宋体"/>
          <w:szCs w:val="32"/>
          <w:u w:val="none"/>
          <w:lang w:eastAsia="zh-CN"/>
        </w:rPr>
      </w:pPr>
      <w:r>
        <w:rPr>
          <w:rFonts w:hint="eastAsia" w:ascii="仿宋_GB2312" w:hAnsi="宋体"/>
          <w:szCs w:val="32"/>
          <w:u w:val="none"/>
          <w:lang w:eastAsia="zh-CN"/>
        </w:rPr>
        <w:t>（二）广西动力技工学校是一所以培养中级技能人才为主的全日制公办技工学校，学校具有国家三级安全培训资质，具备对企业负责人、企业安全管理人员和电工、焊工、空调与制冷、高空作业等特殊工种作业人员进行培训的业务能力。学校坚持全面实施素质教育，关注学生的全面发展，重视学生的能力培养，秉承“立德树人，育人为本”的原则开展教学工作。从创校以来，为各行业培养了大批高</w:t>
      </w:r>
      <w:r>
        <w:rPr>
          <w:rFonts w:hint="eastAsia" w:ascii="仿宋_GB2312" w:hAnsi="宋体"/>
          <w:szCs w:val="32"/>
          <w:u w:val="none"/>
          <w:lang w:val="en-US" w:eastAsia="zh-CN"/>
        </w:rPr>
        <w:t>质量</w:t>
      </w:r>
      <w:r>
        <w:rPr>
          <w:rFonts w:hint="eastAsia" w:ascii="仿宋_GB2312" w:hAnsi="宋体"/>
          <w:szCs w:val="32"/>
          <w:u w:val="none"/>
          <w:lang w:eastAsia="zh-CN"/>
        </w:rPr>
        <w:t>、高技能人才。学校面向全区招生，为社会各行业培养中级技术工人，使毕业生获得中等职业资格证书，并采取有效措施解决应届毕业生的就业问题，使他们都能走向工作岗位；学校</w:t>
      </w:r>
      <w:r>
        <w:rPr>
          <w:rFonts w:hint="eastAsia" w:ascii="仿宋_GB2312" w:hAnsi="宋体"/>
          <w:szCs w:val="32"/>
          <w:u w:val="none"/>
          <w:lang w:val="en-US" w:eastAsia="zh-CN"/>
        </w:rPr>
        <w:t>致力于</w:t>
      </w:r>
      <w:r>
        <w:rPr>
          <w:rFonts w:hint="eastAsia" w:ascii="仿宋_GB2312" w:hAnsi="宋体"/>
          <w:szCs w:val="32"/>
          <w:u w:val="none"/>
          <w:lang w:eastAsia="zh-CN"/>
        </w:rPr>
        <w:t>的改革与</w:t>
      </w:r>
      <w:r>
        <w:rPr>
          <w:rFonts w:hint="eastAsia" w:ascii="仿宋_GB2312" w:hAnsi="宋体"/>
          <w:szCs w:val="32"/>
          <w:u w:val="none"/>
          <w:lang w:val="en-US" w:eastAsia="zh-CN"/>
        </w:rPr>
        <w:t>创新</w:t>
      </w:r>
      <w:r>
        <w:rPr>
          <w:rFonts w:hint="eastAsia" w:ascii="仿宋_GB2312" w:hAnsi="宋体"/>
          <w:szCs w:val="32"/>
          <w:u w:val="none"/>
          <w:lang w:eastAsia="zh-CN"/>
        </w:rPr>
        <w:t>，加强学校基础设施建设，改善办学条件和育人环境，提高教学质量，</w:t>
      </w:r>
      <w:r>
        <w:rPr>
          <w:rFonts w:hint="eastAsia" w:ascii="仿宋_GB2312" w:hAnsi="宋体"/>
          <w:szCs w:val="32"/>
          <w:u w:val="none"/>
          <w:lang w:val="en-US" w:eastAsia="zh-CN"/>
        </w:rPr>
        <w:t>为促进新时代职业教育高质量发展贡献一份力量</w:t>
      </w:r>
      <w:r>
        <w:rPr>
          <w:rFonts w:hint="eastAsia" w:ascii="仿宋_GB2312" w:hAnsi="宋体"/>
          <w:szCs w:val="32"/>
          <w:u w:val="none"/>
          <w:lang w:eastAsia="zh-CN"/>
        </w:rPr>
        <w:t>。</w:t>
      </w:r>
    </w:p>
    <w:p w14:paraId="46156238">
      <w:pPr>
        <w:spacing w:line="560" w:lineRule="exact"/>
        <w:ind w:firstLine="640" w:firstLineChars="200"/>
        <w:rPr>
          <w:rFonts w:hint="eastAsia" w:ascii="黑体" w:hAnsi="宋体" w:eastAsia="黑体"/>
          <w:szCs w:val="32"/>
        </w:rPr>
      </w:pPr>
      <w:r>
        <w:rPr>
          <w:rFonts w:hint="eastAsia" w:ascii="黑体" w:hAnsi="宋体" w:eastAsia="黑体"/>
          <w:szCs w:val="32"/>
        </w:rPr>
        <w:t>二、机构设置情况</w:t>
      </w:r>
    </w:p>
    <w:p w14:paraId="3C45ABB7">
      <w:pPr>
        <w:tabs>
          <w:tab w:val="center" w:pos="4475"/>
        </w:tabs>
        <w:spacing w:line="560" w:lineRule="exact"/>
        <w:ind w:firstLine="645"/>
        <w:rPr>
          <w:rFonts w:hint="eastAsia" w:ascii="仿宋_GB2312" w:hAnsi="宋体"/>
          <w:szCs w:val="32"/>
          <w:u w:val="none"/>
          <w:lang w:eastAsia="zh-CN"/>
        </w:rPr>
      </w:pPr>
      <w:r>
        <w:rPr>
          <w:rFonts w:hint="eastAsia" w:ascii="仿宋_GB2312" w:hAnsi="宋体"/>
          <w:szCs w:val="32"/>
          <w:u w:val="none"/>
          <w:lang w:eastAsia="zh-CN"/>
        </w:rPr>
        <w:t>学校职能部门设置有党政办公室、财务科、招生与就业指导办公室、教务科、</w:t>
      </w:r>
      <w:r>
        <w:rPr>
          <w:rFonts w:hint="eastAsia" w:ascii="仿宋_GB2312" w:hAnsi="宋体"/>
          <w:szCs w:val="32"/>
          <w:u w:val="none"/>
          <w:lang w:val="en-US" w:eastAsia="zh-CN"/>
        </w:rPr>
        <w:t>教育研究室、</w:t>
      </w:r>
      <w:r>
        <w:rPr>
          <w:rFonts w:hint="eastAsia" w:ascii="仿宋_GB2312" w:hAnsi="宋体"/>
          <w:szCs w:val="32"/>
          <w:u w:val="none"/>
          <w:lang w:eastAsia="zh-CN"/>
        </w:rPr>
        <w:t>学生科、总务科、</w:t>
      </w:r>
      <w:r>
        <w:rPr>
          <w:rFonts w:hint="eastAsia" w:ascii="仿宋_GB2312" w:hAnsi="宋体"/>
          <w:szCs w:val="32"/>
          <w:u w:val="none"/>
          <w:lang w:val="en-US" w:eastAsia="zh-CN"/>
        </w:rPr>
        <w:t>培训中心、</w:t>
      </w:r>
      <w:r>
        <w:rPr>
          <w:rFonts w:hint="eastAsia" w:ascii="仿宋_GB2312" w:hAnsi="宋体"/>
          <w:szCs w:val="32"/>
          <w:u w:val="none"/>
          <w:lang w:eastAsia="zh-CN"/>
        </w:rPr>
        <w:t>纪检监察室</w:t>
      </w:r>
      <w:r>
        <w:rPr>
          <w:rFonts w:hint="eastAsia" w:ascii="仿宋_GB2312" w:hAnsi="宋体"/>
          <w:szCs w:val="32"/>
          <w:u w:val="none"/>
          <w:lang w:val="en-US" w:eastAsia="zh-CN"/>
        </w:rPr>
        <w:t>九</w:t>
      </w:r>
      <w:r>
        <w:rPr>
          <w:rFonts w:hint="eastAsia" w:ascii="仿宋_GB2312" w:hAnsi="宋体"/>
          <w:szCs w:val="32"/>
          <w:u w:val="none"/>
          <w:lang w:eastAsia="zh-CN"/>
        </w:rPr>
        <w:t>个部门。党政办公室科室主要负责检查学校综合工作计划的执行情况，协调各部门的关系，负责人事管理工作和对外接待工作等；财务科负责学校资金统筹支付，财务预决算、账务、税务等相关各项工作；招生与就业指导办公室负责学校招生、学生顶岗实习安排、学生就业指导和就业推荐安置、开展相关培训业务等工作；教务科负责组织各专业组制定各专业、各年级的实施性教学计划、教学大纲和教学规章制度工作；教育研究室主要负责学校教研、科研、学术交流与合作、教师培训与指导工作。学生科负责做好学生日常管理和学校安全保卫工作；总务科负责各项后勤服务工作，负责校园网建设及对外宣传、弱电电话网络及信息系统的规划、建设、管理、服务及校内办公电脑，教学机房日常维护、多媒体教室管理等工作；培训中心负责开展各层次、各类型的非学历教育培训工作，负责职业技能鉴定、考证工作。纪检监察室负责学校工作纪律监察、职工政治思想监督、职工廉洁奉公的督查工作。</w:t>
      </w:r>
    </w:p>
    <w:p w14:paraId="4A03B8E1">
      <w:pPr>
        <w:tabs>
          <w:tab w:val="center" w:pos="4475"/>
        </w:tabs>
        <w:spacing w:line="560" w:lineRule="exact"/>
        <w:ind w:firstLine="645"/>
        <w:rPr>
          <w:rFonts w:hint="eastAsia" w:ascii="仿宋_GB2312" w:hAnsi="仿宋_GB2312" w:eastAsia="仿宋_GB2312" w:cs="仿宋_GB2312"/>
          <w:szCs w:val="32"/>
          <w:highlight w:val="none"/>
        </w:rPr>
      </w:pPr>
      <w:r>
        <w:rPr>
          <w:rFonts w:hint="eastAsia" w:ascii="黑体" w:eastAsia="黑体"/>
          <w:szCs w:val="32"/>
        </w:rPr>
        <w:t>第二部分：</w:t>
      </w:r>
      <w:r>
        <w:rPr>
          <w:rFonts w:hint="eastAsia" w:ascii="黑体" w:hAnsi="宋体" w:eastAsia="黑体"/>
          <w:szCs w:val="32"/>
          <w:lang w:val="en-US" w:eastAsia="zh-CN"/>
        </w:rPr>
        <w:t>广西动力技工学校</w:t>
      </w:r>
      <w:r>
        <w:rPr>
          <w:rFonts w:hint="eastAsia" w:ascii="黑体" w:hAnsi="宋体" w:eastAsia="黑体"/>
          <w:szCs w:val="32"/>
        </w:rPr>
        <w:t>202</w:t>
      </w:r>
      <w:r>
        <w:rPr>
          <w:rFonts w:hint="eastAsia" w:ascii="黑体" w:hAnsi="宋体" w:eastAsia="黑体"/>
          <w:szCs w:val="32"/>
          <w:lang w:val="en-US" w:eastAsia="zh-CN"/>
        </w:rPr>
        <w:t>5</w:t>
      </w:r>
      <w:r>
        <w:rPr>
          <w:rFonts w:hint="eastAsia" w:ascii="黑体" w:hAnsi="宋体" w:eastAsia="黑体"/>
          <w:szCs w:val="32"/>
        </w:rPr>
        <w:t>年</w:t>
      </w:r>
      <w:r>
        <w:rPr>
          <w:rFonts w:hint="eastAsia" w:ascii="黑体" w:eastAsia="黑体"/>
          <w:szCs w:val="32"/>
        </w:rPr>
        <w:t>单位预算情况说明</w:t>
      </w:r>
    </w:p>
    <w:p w14:paraId="77779FEB">
      <w:pPr>
        <w:tabs>
          <w:tab w:val="center" w:pos="4475"/>
        </w:tabs>
        <w:spacing w:line="560" w:lineRule="exact"/>
        <w:ind w:firstLine="645"/>
        <w:rPr>
          <w:rFonts w:hint="eastAsia" w:ascii="黑体" w:eastAsia="黑体"/>
          <w:szCs w:val="32"/>
        </w:rPr>
      </w:pPr>
      <w:r>
        <w:rPr>
          <w:rFonts w:hint="eastAsia" w:ascii="黑体" w:eastAsia="黑体"/>
          <w:szCs w:val="32"/>
        </w:rPr>
        <w:t>一、单位</w:t>
      </w:r>
      <w:r>
        <w:rPr>
          <w:rFonts w:hint="eastAsia" w:ascii="黑体" w:eastAsia="黑体"/>
          <w:szCs w:val="32"/>
          <w:lang w:eastAsia="zh-CN"/>
        </w:rPr>
        <w:t>预算</w:t>
      </w:r>
      <w:r>
        <w:rPr>
          <w:rFonts w:hint="eastAsia" w:ascii="黑体" w:eastAsia="黑体"/>
          <w:szCs w:val="32"/>
        </w:rPr>
        <w:t>收支</w:t>
      </w:r>
      <w:r>
        <w:rPr>
          <w:rFonts w:hint="eastAsia" w:ascii="黑体" w:eastAsia="黑体"/>
          <w:szCs w:val="32"/>
          <w:lang w:eastAsia="zh-CN"/>
        </w:rPr>
        <w:t>增减变化</w:t>
      </w:r>
      <w:r>
        <w:rPr>
          <w:rFonts w:hint="eastAsia" w:ascii="黑体" w:eastAsia="黑体"/>
          <w:szCs w:val="32"/>
        </w:rPr>
        <w:t>情况说明</w:t>
      </w:r>
    </w:p>
    <w:p w14:paraId="2ADBE214">
      <w:pPr>
        <w:tabs>
          <w:tab w:val="center" w:pos="4475"/>
        </w:tabs>
        <w:spacing w:line="560" w:lineRule="exact"/>
        <w:ind w:firstLine="645"/>
        <w:rPr>
          <w:rFonts w:hint="eastAsia" w:ascii="黑体" w:eastAsia="黑体"/>
          <w:szCs w:val="32"/>
        </w:rPr>
      </w:pPr>
      <w:r>
        <w:rPr>
          <w:rFonts w:hint="eastAsia" w:ascii="仿宋_GB2312" w:hAnsi="宋体" w:eastAsia="仿宋_GB2312" w:cs="Times New Roman"/>
          <w:szCs w:val="32"/>
          <w:highlight w:val="none"/>
          <w:lang w:eastAsia="zh-CN"/>
        </w:rPr>
        <w:t>我</w:t>
      </w:r>
      <w:r>
        <w:rPr>
          <w:rFonts w:hint="eastAsia" w:ascii="仿宋_GB2312" w:hAnsi="宋体" w:cs="Times New Roman"/>
          <w:szCs w:val="32"/>
          <w:highlight w:val="none"/>
          <w:lang w:eastAsia="zh-CN"/>
        </w:rPr>
        <w:t>单位</w:t>
      </w:r>
      <w:r>
        <w:rPr>
          <w:rFonts w:hint="eastAsia" w:ascii="仿宋_GB2312" w:eastAsia="仿宋_GB2312"/>
          <w:sz w:val="32"/>
          <w:szCs w:val="32"/>
        </w:rPr>
        <w:t>总收入1062.57万元</w:t>
      </w:r>
      <w:r>
        <w:rPr>
          <w:rFonts w:hint="eastAsia" w:ascii="仿宋_GB2312" w:eastAsia="仿宋_GB2312"/>
          <w:sz w:val="32"/>
          <w:szCs w:val="32"/>
          <w:lang w:eastAsia="zh-CN"/>
        </w:rPr>
        <w:t>，</w:t>
      </w:r>
      <w:r>
        <w:rPr>
          <w:rFonts w:hint="eastAsia" w:ascii="仿宋_GB2312" w:eastAsia="仿宋_GB2312"/>
          <w:sz w:val="32"/>
          <w:szCs w:val="32"/>
        </w:rPr>
        <w:t>总支出1062.57万元</w:t>
      </w:r>
      <w:r>
        <w:rPr>
          <w:rFonts w:hint="eastAsia" w:ascii="仿宋_GB2312" w:eastAsia="仿宋_GB2312"/>
          <w:sz w:val="32"/>
          <w:szCs w:val="32"/>
          <w:highlight w:val="none"/>
          <w:lang w:eastAsia="zh-CN"/>
        </w:rPr>
        <w:t>（不含财政拨款上年未列支结转收支数）</w:t>
      </w:r>
      <w:r>
        <w:rPr>
          <w:rFonts w:hint="eastAsia" w:ascii="仿宋_GB2312" w:eastAsia="仿宋_GB2312"/>
          <w:sz w:val="32"/>
          <w:szCs w:val="32"/>
          <w:lang w:eastAsia="zh-CN"/>
        </w:rPr>
        <w:t>。</w:t>
      </w:r>
      <w:r>
        <w:rPr>
          <w:rFonts w:hint="eastAsia" w:ascii="仿宋_GB2312"/>
          <w:sz w:val="32"/>
          <w:szCs w:val="32"/>
          <w:lang w:eastAsia="zh-CN"/>
        </w:rPr>
        <w:t>总收入较上年减少48.46万元，</w:t>
      </w:r>
      <w:r>
        <w:rPr>
          <w:rFonts w:hint="eastAsia" w:ascii="仿宋_GB2312"/>
          <w:sz w:val="32"/>
          <w:szCs w:val="32"/>
          <w:lang w:val="en-US" w:eastAsia="zh-CN"/>
        </w:rPr>
        <w:t>减少</w:t>
      </w:r>
      <w:r>
        <w:rPr>
          <w:rFonts w:hint="eastAsia" w:ascii="仿宋_GB2312"/>
          <w:sz w:val="32"/>
          <w:szCs w:val="32"/>
          <w:lang w:eastAsia="zh-CN"/>
        </w:rPr>
        <w:t>4.36％</w:t>
      </w:r>
      <w:r>
        <w:rPr>
          <w:rFonts w:hint="eastAsia" w:ascii="仿宋_GB2312"/>
          <w:sz w:val="32"/>
          <w:szCs w:val="32"/>
          <w:lang w:val="en-US" w:eastAsia="zh-CN"/>
        </w:rPr>
        <w:t>，主要原因是</w:t>
      </w:r>
      <w:r>
        <w:rPr>
          <w:rFonts w:hint="eastAsia" w:ascii="仿宋_GB2312"/>
          <w:szCs w:val="32"/>
        </w:rPr>
        <w:t>学生人数减少，生均经费</w:t>
      </w:r>
      <w:r>
        <w:rPr>
          <w:rFonts w:hint="eastAsia" w:ascii="仿宋_GB2312"/>
          <w:szCs w:val="32"/>
          <w:lang w:val="en-US" w:eastAsia="zh-CN"/>
        </w:rPr>
        <w:t>收入</w:t>
      </w:r>
      <w:r>
        <w:rPr>
          <w:rFonts w:hint="eastAsia" w:ascii="仿宋_GB2312"/>
          <w:szCs w:val="32"/>
        </w:rPr>
        <w:t>减少</w:t>
      </w:r>
      <w:r>
        <w:rPr>
          <w:rFonts w:hint="eastAsia" w:ascii="仿宋_GB2312"/>
          <w:sz w:val="32"/>
          <w:szCs w:val="32"/>
          <w:lang w:val="en-US" w:eastAsia="zh-CN"/>
        </w:rPr>
        <w:t>。总支出</w:t>
      </w:r>
      <w:r>
        <w:rPr>
          <w:rFonts w:hint="eastAsia" w:ascii="仿宋_GB2312"/>
          <w:sz w:val="32"/>
          <w:szCs w:val="32"/>
          <w:lang w:eastAsia="zh-CN"/>
        </w:rPr>
        <w:t>较上年减少48.46万元，下降4.36％</w:t>
      </w:r>
      <w:r>
        <w:rPr>
          <w:rFonts w:hint="eastAsia" w:ascii="仿宋_GB2312"/>
          <w:sz w:val="32"/>
          <w:szCs w:val="32"/>
          <w:lang w:val="en-US" w:eastAsia="zh-CN"/>
        </w:rPr>
        <w:t>，主要原因是</w:t>
      </w:r>
      <w:r>
        <w:rPr>
          <w:rFonts w:hint="eastAsia" w:ascii="仿宋_GB2312"/>
          <w:szCs w:val="32"/>
        </w:rPr>
        <w:t>学生人数减少，生均经费</w:t>
      </w:r>
      <w:r>
        <w:rPr>
          <w:rFonts w:hint="eastAsia" w:ascii="仿宋_GB2312"/>
          <w:szCs w:val="32"/>
          <w:lang w:val="en-US" w:eastAsia="zh-CN"/>
        </w:rPr>
        <w:t>支出</w:t>
      </w:r>
      <w:r>
        <w:rPr>
          <w:rFonts w:hint="eastAsia" w:ascii="仿宋_GB2312"/>
          <w:szCs w:val="32"/>
        </w:rPr>
        <w:t>减少</w:t>
      </w:r>
      <w:r>
        <w:rPr>
          <w:rFonts w:hint="eastAsia" w:ascii="仿宋_GB2312"/>
          <w:sz w:val="32"/>
          <w:szCs w:val="32"/>
          <w:lang w:val="en-US" w:eastAsia="zh-CN"/>
        </w:rPr>
        <w:t>。</w:t>
      </w:r>
    </w:p>
    <w:p w14:paraId="23C29488">
      <w:pPr>
        <w:tabs>
          <w:tab w:val="center" w:pos="4475"/>
        </w:tabs>
        <w:spacing w:line="560" w:lineRule="exact"/>
        <w:ind w:firstLine="645"/>
        <w:rPr>
          <w:rFonts w:hint="eastAsia" w:ascii="仿宋_GB2312" w:hAnsi="宋体"/>
          <w:szCs w:val="32"/>
        </w:rPr>
      </w:pPr>
      <w:r>
        <w:rPr>
          <w:rFonts w:hint="eastAsia" w:ascii="黑体" w:eastAsia="黑体"/>
          <w:szCs w:val="32"/>
        </w:rPr>
        <w:t>二、单位</w:t>
      </w:r>
      <w:r>
        <w:rPr>
          <w:rFonts w:hint="eastAsia" w:ascii="黑体" w:eastAsia="黑体"/>
          <w:szCs w:val="32"/>
          <w:lang w:eastAsia="zh-CN"/>
        </w:rPr>
        <w:t>预算</w:t>
      </w:r>
      <w:r>
        <w:rPr>
          <w:rFonts w:hint="eastAsia" w:ascii="黑体" w:eastAsia="黑体"/>
          <w:szCs w:val="32"/>
        </w:rPr>
        <w:t>收入总体情况说明</w:t>
      </w:r>
    </w:p>
    <w:p w14:paraId="0F36323A">
      <w:pPr>
        <w:tabs>
          <w:tab w:val="center" w:pos="4475"/>
        </w:tabs>
        <w:spacing w:line="560" w:lineRule="exact"/>
        <w:ind w:firstLine="645"/>
        <w:rPr>
          <w:rFonts w:hint="eastAsia" w:ascii="黑体" w:eastAsia="黑体"/>
          <w:szCs w:val="32"/>
        </w:rPr>
      </w:pPr>
      <w:r>
        <w:rPr>
          <w:rFonts w:hint="eastAsia" w:ascii="仿宋_GB2312" w:hAnsi="宋体" w:eastAsia="仿宋_GB2312" w:cs="Times New Roman"/>
          <w:szCs w:val="32"/>
          <w:highlight w:val="none"/>
          <w:lang w:eastAsia="zh-CN"/>
        </w:rPr>
        <w:t>我</w:t>
      </w:r>
      <w:r>
        <w:rPr>
          <w:rFonts w:hint="eastAsia" w:ascii="仿宋_GB2312" w:hAnsi="宋体" w:cs="Times New Roman"/>
          <w:szCs w:val="32"/>
          <w:highlight w:val="none"/>
          <w:lang w:eastAsia="zh-CN"/>
        </w:rPr>
        <w:t>单位</w:t>
      </w:r>
      <w:r>
        <w:rPr>
          <w:rFonts w:hint="eastAsia" w:ascii="仿宋_GB2312" w:eastAsia="仿宋_GB2312"/>
          <w:sz w:val="32"/>
          <w:szCs w:val="32"/>
        </w:rPr>
        <w:t>总收入1062.57万元</w:t>
      </w:r>
      <w:r>
        <w:rPr>
          <w:rFonts w:hint="eastAsia" w:ascii="仿宋_GB2312"/>
          <w:sz w:val="32"/>
          <w:szCs w:val="32"/>
          <w:lang w:eastAsia="zh-CN"/>
        </w:rPr>
        <w:t>，较上年减少48.46万元，</w:t>
      </w:r>
      <w:r>
        <w:rPr>
          <w:rFonts w:hint="eastAsia" w:ascii="仿宋_GB2312"/>
          <w:sz w:val="32"/>
          <w:szCs w:val="32"/>
          <w:lang w:val="en-US" w:eastAsia="zh-CN"/>
        </w:rPr>
        <w:t>减少</w:t>
      </w:r>
      <w:r>
        <w:rPr>
          <w:rFonts w:hint="eastAsia" w:ascii="仿宋_GB2312"/>
          <w:sz w:val="32"/>
          <w:szCs w:val="32"/>
          <w:lang w:eastAsia="zh-CN"/>
        </w:rPr>
        <w:t>4.36％</w:t>
      </w:r>
      <w:r>
        <w:rPr>
          <w:rFonts w:hint="eastAsia" w:ascii="仿宋_GB2312"/>
          <w:sz w:val="32"/>
          <w:szCs w:val="32"/>
          <w:lang w:val="en-US" w:eastAsia="zh-CN"/>
        </w:rPr>
        <w:t>，主要原因是</w:t>
      </w:r>
      <w:r>
        <w:rPr>
          <w:rFonts w:hint="eastAsia" w:ascii="仿宋_GB2312"/>
          <w:szCs w:val="32"/>
        </w:rPr>
        <w:t>学生人数减少，生均经费收入减少</w:t>
      </w:r>
      <w:r>
        <w:rPr>
          <w:rFonts w:hint="eastAsia" w:ascii="仿宋_GB2312"/>
          <w:sz w:val="32"/>
          <w:szCs w:val="32"/>
          <w:lang w:val="en-US" w:eastAsia="zh-CN"/>
        </w:rPr>
        <w:t>。单位总收入主要包括：</w:t>
      </w:r>
      <w:r>
        <w:rPr>
          <w:rFonts w:hint="eastAsia" w:ascii="仿宋_GB2312" w:hAnsi="宋体"/>
          <w:szCs w:val="32"/>
          <w:lang w:val="en-US" w:eastAsia="zh-CN"/>
        </w:rPr>
        <w:t>一般公共预算收入908.78万元，占收入总预算85.53%，同比减少78.25万元，减少7.93％，收入减少原因的说明：学生人数减少，生均经费减少。财政专户管理资金收入92.19万元，占收入总预算8.67%，同比减少 21.81万元，减少19.13％，收入减少原因的说明：学生人数减少，实习材料费等收费减少。单位资金收入61.6万元，占收入总预算5.8%，同比增加51.6万元，增长516％，收入增加原因的说明：计划招收培训学员增加</w:t>
      </w:r>
      <w:r>
        <w:rPr>
          <w:rFonts w:hint="eastAsia" w:ascii="仿宋_GB2312" w:hAnsi="宋体"/>
          <w:szCs w:val="32"/>
          <w:highlight w:val="none"/>
          <w:lang w:val="en-US" w:eastAsia="zh-CN"/>
        </w:rPr>
        <w:t>。</w:t>
      </w:r>
    </w:p>
    <w:p w14:paraId="079D0761">
      <w:pPr>
        <w:tabs>
          <w:tab w:val="center" w:pos="4475"/>
        </w:tabs>
        <w:spacing w:line="560" w:lineRule="exact"/>
        <w:ind w:firstLine="645"/>
        <w:rPr>
          <w:rFonts w:hint="eastAsia" w:ascii="黑体" w:eastAsia="黑体"/>
          <w:szCs w:val="32"/>
        </w:rPr>
      </w:pPr>
      <w:r>
        <w:rPr>
          <w:rFonts w:hint="eastAsia" w:ascii="黑体" w:eastAsia="黑体"/>
          <w:szCs w:val="32"/>
        </w:rPr>
        <w:t>三、单位</w:t>
      </w:r>
      <w:r>
        <w:rPr>
          <w:rFonts w:hint="eastAsia" w:ascii="黑体" w:eastAsia="黑体"/>
          <w:szCs w:val="32"/>
          <w:lang w:eastAsia="zh-CN"/>
        </w:rPr>
        <w:t>预算</w:t>
      </w:r>
      <w:r>
        <w:rPr>
          <w:rFonts w:hint="eastAsia" w:ascii="黑体" w:eastAsia="黑体"/>
          <w:szCs w:val="32"/>
        </w:rPr>
        <w:t>支出总体情况说明</w:t>
      </w:r>
    </w:p>
    <w:p w14:paraId="3A42B56F">
      <w:pPr>
        <w:tabs>
          <w:tab w:val="center" w:pos="4475"/>
        </w:tabs>
        <w:spacing w:line="560" w:lineRule="exact"/>
        <w:ind w:firstLine="645"/>
        <w:rPr>
          <w:rFonts w:hint="eastAsia" w:ascii="仿宋_GB2312"/>
          <w:sz w:val="32"/>
          <w:szCs w:val="32"/>
          <w:lang w:val="en-US" w:eastAsia="zh-CN"/>
        </w:rPr>
      </w:pPr>
      <w:r>
        <w:rPr>
          <w:rFonts w:hint="eastAsia" w:ascii="仿宋_GB2312" w:hAnsi="宋体" w:eastAsia="仿宋_GB2312" w:cs="Times New Roman"/>
          <w:szCs w:val="32"/>
          <w:highlight w:val="none"/>
          <w:lang w:eastAsia="zh-CN"/>
        </w:rPr>
        <w:t>我</w:t>
      </w:r>
      <w:r>
        <w:rPr>
          <w:rFonts w:hint="eastAsia" w:ascii="仿宋_GB2312" w:hAnsi="宋体" w:cs="Times New Roman"/>
          <w:szCs w:val="32"/>
          <w:highlight w:val="none"/>
          <w:lang w:eastAsia="zh-CN"/>
        </w:rPr>
        <w:t>单位</w:t>
      </w:r>
      <w:r>
        <w:rPr>
          <w:rFonts w:hint="eastAsia" w:ascii="仿宋_GB2312" w:eastAsia="仿宋_GB2312"/>
          <w:sz w:val="32"/>
          <w:szCs w:val="32"/>
        </w:rPr>
        <w:t>总</w:t>
      </w:r>
      <w:r>
        <w:rPr>
          <w:rFonts w:hint="eastAsia" w:ascii="仿宋_GB2312"/>
          <w:sz w:val="32"/>
          <w:szCs w:val="32"/>
          <w:lang w:eastAsia="zh-CN"/>
        </w:rPr>
        <w:t>支出</w:t>
      </w:r>
      <w:r>
        <w:rPr>
          <w:rFonts w:hint="eastAsia" w:ascii="仿宋_GB2312" w:eastAsia="仿宋_GB2312"/>
          <w:sz w:val="32"/>
          <w:szCs w:val="32"/>
        </w:rPr>
        <w:t>1062.57万元</w:t>
      </w:r>
      <w:r>
        <w:rPr>
          <w:rFonts w:hint="eastAsia" w:ascii="仿宋_GB2312"/>
          <w:sz w:val="32"/>
          <w:szCs w:val="32"/>
          <w:lang w:eastAsia="zh-CN"/>
        </w:rPr>
        <w:t>，较上年减少48.46万元，减少4.36％</w:t>
      </w:r>
      <w:r>
        <w:rPr>
          <w:rFonts w:hint="eastAsia" w:ascii="仿宋_GB2312"/>
          <w:sz w:val="32"/>
          <w:szCs w:val="32"/>
          <w:lang w:val="en-US" w:eastAsia="zh-CN"/>
        </w:rPr>
        <w:t>，减少主要原因是</w:t>
      </w:r>
      <w:r>
        <w:rPr>
          <w:rFonts w:hint="eastAsia" w:ascii="仿宋_GB2312"/>
          <w:szCs w:val="32"/>
        </w:rPr>
        <w:t>学生人数减少，生均经费支出减少</w:t>
      </w:r>
      <w:r>
        <w:rPr>
          <w:rFonts w:hint="eastAsia" w:ascii="仿宋_GB2312"/>
          <w:szCs w:val="32"/>
          <w:lang w:eastAsia="zh-CN"/>
        </w:rPr>
        <w:t>，</w:t>
      </w:r>
      <w:r>
        <w:rPr>
          <w:rFonts w:hint="eastAsia" w:ascii="仿宋_GB2312"/>
          <w:szCs w:val="32"/>
        </w:rPr>
        <w:t>免学费、助学金项目资金支出减少</w:t>
      </w:r>
      <w:r>
        <w:rPr>
          <w:rFonts w:hint="eastAsia" w:ascii="仿宋_GB2312"/>
          <w:sz w:val="32"/>
          <w:szCs w:val="32"/>
          <w:lang w:val="en-US" w:eastAsia="zh-CN"/>
        </w:rPr>
        <w:t>。单位支出主要包括：</w:t>
      </w:r>
      <w:r>
        <w:rPr>
          <w:rFonts w:hint="eastAsia" w:ascii="仿宋_GB2312" w:hAnsi="宋体"/>
          <w:szCs w:val="32"/>
          <w:lang w:val="en-US" w:eastAsia="zh-CN"/>
        </w:rPr>
        <w:t>技校教育支出951.47万元，占支出总预算89.54%，同比减少75.56万元，减少7.09％，减少主要原因是学生人数减少，免学费、助学金项目资金支出减少；住房公积金支出23.85万元，占支出总预算2.25%，同比减少0.21万元，减少0.87％；机关事业单位基本养老保险缴费支出31.8万元，占支出总预算2.99%，同比减少0.28万元，减少0.87％；事业单位医疗支出14.71万元，占支出总预算1.38%。同比减少0.13万元，减少0.88％。机关事业单位职业年金缴费支出15.9万元，占支出总预算1.5%，同比减少0.14万元，减少0.87％。支出减少原因的说明：在职在编职工职称结构变化，高级职称人数减少，中级、初级职称人数增加，加上部分人员退休，工资性支出减少，住房公积金支出、机关事业单位基本养老保险缴费支出、事业单位医疗支出、机关事业单位职业年金缴费支出减少。事业单位离退休：24.86万元，占支出总预算2.34%，同比增加3.07万元，增长14.09％。增加</w:t>
      </w:r>
      <w:r>
        <w:rPr>
          <w:rFonts w:hint="eastAsia" w:ascii="仿宋_GB2312"/>
          <w:sz w:val="32"/>
          <w:szCs w:val="32"/>
          <w:lang w:val="en-US" w:eastAsia="zh-CN"/>
        </w:rPr>
        <w:t>主要原因是退休人员增加。</w:t>
      </w:r>
    </w:p>
    <w:p w14:paraId="65580077">
      <w:pPr>
        <w:tabs>
          <w:tab w:val="center" w:pos="4475"/>
        </w:tabs>
        <w:spacing w:line="560" w:lineRule="exact"/>
        <w:ind w:firstLine="645"/>
        <w:rPr>
          <w:rFonts w:hint="default" w:ascii="仿宋_GB2312"/>
          <w:sz w:val="32"/>
          <w:szCs w:val="32"/>
          <w:lang w:val="en-US" w:eastAsia="zh-CN"/>
        </w:rPr>
      </w:pPr>
      <w:r>
        <w:rPr>
          <w:rFonts w:hint="default" w:ascii="仿宋_GB2312"/>
          <w:sz w:val="32"/>
          <w:szCs w:val="32"/>
          <w:lang w:val="en-US" w:eastAsia="zh-CN"/>
        </w:rPr>
        <w:t>按支出结构分类划分，分为基本支出预算和项目支出预算。</w:t>
      </w:r>
    </w:p>
    <w:p w14:paraId="515366AA">
      <w:pPr>
        <w:tabs>
          <w:tab w:val="center" w:pos="4475"/>
        </w:tabs>
        <w:spacing w:line="560" w:lineRule="exact"/>
        <w:ind w:firstLine="645"/>
        <w:rPr>
          <w:rFonts w:hint="default" w:ascii="仿宋_GB2312"/>
          <w:sz w:val="32"/>
          <w:szCs w:val="32"/>
          <w:lang w:val="en-US" w:eastAsia="zh-CN"/>
        </w:rPr>
      </w:pPr>
      <w:r>
        <w:rPr>
          <w:rFonts w:hint="default" w:ascii="仿宋_GB2312"/>
          <w:sz w:val="32"/>
          <w:szCs w:val="32"/>
          <w:lang w:val="en-US" w:eastAsia="zh-CN"/>
        </w:rPr>
        <w:t>基本支出预算559.35万元，占本年支出预算52.64％，同比减少33.95万元，下降5.72％。支出减少原因的说明：学生人数减少，公用经费减少。</w:t>
      </w:r>
    </w:p>
    <w:p w14:paraId="356B2F1D">
      <w:pPr>
        <w:tabs>
          <w:tab w:val="center" w:pos="4475"/>
        </w:tabs>
        <w:spacing w:line="560" w:lineRule="exact"/>
        <w:ind w:firstLine="645"/>
        <w:rPr>
          <w:rFonts w:hint="default" w:ascii="仿宋_GB2312"/>
          <w:sz w:val="32"/>
          <w:szCs w:val="32"/>
          <w:lang w:val="en-US" w:eastAsia="zh-CN"/>
        </w:rPr>
      </w:pPr>
      <w:r>
        <w:rPr>
          <w:rFonts w:hint="default" w:ascii="仿宋_GB2312"/>
          <w:sz w:val="32"/>
          <w:szCs w:val="32"/>
          <w:lang w:val="en-US" w:eastAsia="zh-CN"/>
        </w:rPr>
        <w:t>项目支出预算503.22万元，占本年支出预算47.36％，同比减少14.51万元，下降2.8％。支出减少原因的说明：学生人数减少，免学费、助学金等项目资金减少。</w:t>
      </w:r>
    </w:p>
    <w:p w14:paraId="77E10E06">
      <w:pPr>
        <w:tabs>
          <w:tab w:val="center" w:pos="4475"/>
        </w:tabs>
        <w:spacing w:line="560" w:lineRule="exact"/>
        <w:ind w:firstLine="645"/>
        <w:rPr>
          <w:rFonts w:hint="eastAsia" w:ascii="黑体" w:eastAsia="黑体"/>
          <w:szCs w:val="32"/>
        </w:rPr>
      </w:pPr>
      <w:r>
        <w:rPr>
          <w:rFonts w:hint="eastAsia" w:ascii="黑体" w:eastAsia="黑体"/>
          <w:szCs w:val="32"/>
          <w:lang w:eastAsia="zh-CN"/>
        </w:rPr>
        <w:t>四</w:t>
      </w:r>
      <w:r>
        <w:rPr>
          <w:rFonts w:hint="eastAsia" w:ascii="黑体" w:eastAsia="黑体"/>
          <w:szCs w:val="32"/>
        </w:rPr>
        <w:t>、政府性基金预算支出情况说明</w:t>
      </w:r>
    </w:p>
    <w:p w14:paraId="6D6BC715">
      <w:pPr>
        <w:tabs>
          <w:tab w:val="center" w:pos="4475"/>
        </w:tabs>
        <w:spacing w:line="560" w:lineRule="exact"/>
        <w:ind w:firstLine="645"/>
        <w:rPr>
          <w:rFonts w:hint="eastAsia" w:ascii="黑体" w:eastAsia="黑体"/>
          <w:szCs w:val="32"/>
        </w:rPr>
      </w:pPr>
      <w:r>
        <w:rPr>
          <w:rFonts w:hint="eastAsia" w:ascii="仿宋_GB2312"/>
          <w:sz w:val="32"/>
          <w:szCs w:val="32"/>
          <w:highlight w:val="none"/>
          <w:lang w:eastAsia="zh-CN"/>
        </w:rPr>
        <w:t>我单位2025年无政府性基金预算，</w:t>
      </w:r>
      <w:r>
        <w:rPr>
          <w:rFonts w:hint="eastAsia" w:ascii="仿宋_GB2312"/>
          <w:sz w:val="32"/>
          <w:szCs w:val="32"/>
          <w:highlight w:val="none"/>
          <w:lang w:val="en-US" w:eastAsia="zh-CN"/>
        </w:rPr>
        <w:t>与上年持平</w:t>
      </w:r>
      <w:r>
        <w:rPr>
          <w:rFonts w:hint="eastAsia" w:ascii="仿宋_GB2312"/>
          <w:szCs w:val="32"/>
          <w:lang w:eastAsia="zh-CN"/>
        </w:rPr>
        <w:t>。</w:t>
      </w:r>
    </w:p>
    <w:p w14:paraId="6F058495">
      <w:pPr>
        <w:tabs>
          <w:tab w:val="center" w:pos="4475"/>
        </w:tabs>
        <w:spacing w:line="560" w:lineRule="exact"/>
        <w:ind w:firstLine="645"/>
        <w:rPr>
          <w:rFonts w:hint="eastAsia" w:ascii="仿宋_GB2312" w:hAnsi="宋体"/>
          <w:szCs w:val="32"/>
          <w:highlight w:val="none"/>
          <w:u w:val="single"/>
        </w:rPr>
      </w:pPr>
      <w:r>
        <w:rPr>
          <w:rFonts w:hint="eastAsia" w:ascii="黑体" w:eastAsia="黑体"/>
          <w:szCs w:val="32"/>
          <w:highlight w:val="none"/>
          <w:lang w:eastAsia="zh-CN"/>
        </w:rPr>
        <w:t>五</w:t>
      </w:r>
      <w:r>
        <w:rPr>
          <w:rFonts w:hint="eastAsia" w:ascii="黑体" w:eastAsia="黑体"/>
          <w:szCs w:val="32"/>
          <w:highlight w:val="none"/>
        </w:rPr>
        <w:t>、</w:t>
      </w:r>
      <w:r>
        <w:rPr>
          <w:rFonts w:hint="eastAsia" w:ascii="黑体" w:eastAsia="黑体"/>
          <w:szCs w:val="32"/>
          <w:highlight w:val="none"/>
          <w:lang w:eastAsia="zh-CN"/>
        </w:rPr>
        <w:t>国有资本经营</w:t>
      </w:r>
      <w:r>
        <w:rPr>
          <w:rFonts w:hint="eastAsia" w:ascii="黑体" w:eastAsia="黑体"/>
          <w:szCs w:val="32"/>
          <w:highlight w:val="none"/>
        </w:rPr>
        <w:t>预算支出情况说明</w:t>
      </w:r>
    </w:p>
    <w:p w14:paraId="130F930E">
      <w:pPr>
        <w:tabs>
          <w:tab w:val="center" w:pos="4475"/>
        </w:tabs>
        <w:spacing w:line="560" w:lineRule="exact"/>
        <w:ind w:firstLine="645"/>
        <w:rPr>
          <w:rFonts w:hint="eastAsia" w:ascii="黑体" w:eastAsia="黑体"/>
          <w:szCs w:val="32"/>
        </w:rPr>
      </w:pPr>
      <w:r>
        <w:rPr>
          <w:rFonts w:hint="eastAsia" w:ascii="仿宋_GB2312" w:hAnsi="宋体"/>
          <w:szCs w:val="32"/>
          <w:highlight w:val="none"/>
          <w:lang w:eastAsia="zh-CN"/>
        </w:rPr>
        <w:t>我单位2025年无国有资本经营预算，与</w:t>
      </w:r>
      <w:r>
        <w:rPr>
          <w:rFonts w:hint="eastAsia" w:ascii="仿宋_GB2312" w:hAnsi="宋体"/>
          <w:szCs w:val="32"/>
          <w:highlight w:val="none"/>
          <w:lang w:val="en-US" w:eastAsia="zh-CN"/>
        </w:rPr>
        <w:t>上</w:t>
      </w:r>
      <w:r>
        <w:rPr>
          <w:rFonts w:hint="eastAsia" w:ascii="仿宋_GB2312" w:hAnsi="宋体"/>
          <w:szCs w:val="32"/>
          <w:highlight w:val="none"/>
          <w:lang w:eastAsia="zh-CN"/>
        </w:rPr>
        <w:t>年持平</w:t>
      </w:r>
      <w:r>
        <w:rPr>
          <w:rFonts w:hint="eastAsia" w:ascii="仿宋_GB2312"/>
          <w:szCs w:val="32"/>
          <w:lang w:eastAsia="zh-CN"/>
        </w:rPr>
        <w:t>。</w:t>
      </w:r>
    </w:p>
    <w:p w14:paraId="3B196C13">
      <w:pPr>
        <w:tabs>
          <w:tab w:val="center" w:pos="4475"/>
        </w:tabs>
        <w:spacing w:line="560" w:lineRule="exact"/>
        <w:ind w:firstLine="645"/>
        <w:rPr>
          <w:rFonts w:hint="eastAsia" w:ascii="黑体" w:eastAsia="黑体"/>
          <w:szCs w:val="32"/>
        </w:rPr>
      </w:pPr>
      <w:r>
        <w:rPr>
          <w:rFonts w:hint="eastAsia" w:ascii="黑体" w:eastAsia="黑体"/>
          <w:szCs w:val="32"/>
          <w:lang w:eastAsia="zh-CN"/>
        </w:rPr>
        <w:t>六</w:t>
      </w:r>
      <w:r>
        <w:rPr>
          <w:rFonts w:hint="eastAsia" w:ascii="黑体" w:eastAsia="黑体"/>
          <w:szCs w:val="32"/>
        </w:rPr>
        <w:t>、一般公共预算“三公”经费支出情况说明</w:t>
      </w:r>
    </w:p>
    <w:p w14:paraId="50D3A953">
      <w:pPr>
        <w:tabs>
          <w:tab w:val="center" w:pos="4475"/>
        </w:tabs>
        <w:spacing w:line="560" w:lineRule="exact"/>
        <w:ind w:firstLine="645"/>
        <w:rPr>
          <w:rFonts w:hint="default" w:ascii="仿宋_GB2312" w:hAnsi="宋体" w:eastAsia="仿宋_GB2312"/>
          <w:szCs w:val="32"/>
          <w:lang w:val="en-US" w:eastAsia="zh-CN"/>
        </w:rPr>
      </w:pPr>
      <w:r>
        <w:rPr>
          <w:rFonts w:hint="eastAsia" w:ascii="仿宋_GB2312" w:hAnsi="宋体"/>
          <w:szCs w:val="32"/>
        </w:rPr>
        <w:t>我单位2025年</w:t>
      </w:r>
      <w:r>
        <w:rPr>
          <w:rFonts w:hint="eastAsia" w:ascii="仿宋_GB2312" w:hAnsi="宋体"/>
          <w:szCs w:val="32"/>
          <w:lang w:val="en-US" w:eastAsia="zh-CN"/>
        </w:rPr>
        <w:t>无一般公共预算“三公”经费支出情况，与上年持平。</w:t>
      </w:r>
    </w:p>
    <w:p w14:paraId="051F9FB4">
      <w:pPr>
        <w:tabs>
          <w:tab w:val="center" w:pos="4475"/>
        </w:tabs>
        <w:spacing w:line="560" w:lineRule="exact"/>
        <w:ind w:firstLine="645"/>
        <w:rPr>
          <w:rFonts w:hint="eastAsia" w:ascii="楷体_GB2312" w:hAnsi="楷体_GB2312" w:eastAsia="楷体_GB2312" w:cs="楷体_GB2312"/>
          <w:szCs w:val="32"/>
        </w:rPr>
      </w:pPr>
      <w:r>
        <w:rPr>
          <w:rFonts w:hint="eastAsia" w:ascii="黑体" w:eastAsia="黑体"/>
          <w:szCs w:val="32"/>
          <w:lang w:eastAsia="zh-CN"/>
        </w:rPr>
        <w:t>七、</w:t>
      </w:r>
      <w:r>
        <w:rPr>
          <w:rFonts w:hint="eastAsia" w:ascii="黑体" w:hAnsi="黑体" w:eastAsia="黑体" w:cs="黑体"/>
          <w:szCs w:val="32"/>
        </w:rPr>
        <w:t>事业单位相关运行经费安排情况说明</w:t>
      </w:r>
    </w:p>
    <w:p w14:paraId="44A250E7">
      <w:pPr>
        <w:tabs>
          <w:tab w:val="center" w:pos="4475"/>
        </w:tabs>
        <w:spacing w:line="560" w:lineRule="exact"/>
        <w:ind w:firstLine="645"/>
        <w:rPr>
          <w:rFonts w:hint="eastAsia" w:ascii="仿宋_GB2312"/>
          <w:sz w:val="32"/>
          <w:szCs w:val="32"/>
          <w:lang w:val="en-US" w:eastAsia="zh-CN"/>
        </w:rPr>
      </w:pPr>
      <w:r>
        <w:rPr>
          <w:rFonts w:hint="eastAsia" w:ascii="仿宋_GB2312"/>
          <w:sz w:val="32"/>
          <w:szCs w:val="32"/>
          <w:lang w:val="en-US" w:eastAsia="zh-CN"/>
        </w:rPr>
        <w:t>我单位2025年事业单位相关运行经费主要包括：办公费18.8万元，同比减少8万元，减少29.85%，减少原因：响应国家过“紧日子”政策，精简办公费用支出；水费9万元，同比增加1万元，增</w:t>
      </w:r>
      <w:r>
        <w:rPr>
          <w:rFonts w:hint="eastAsia" w:ascii="仿宋_GB2312"/>
          <w:sz w:val="32"/>
          <w:szCs w:val="32"/>
          <w:lang w:eastAsia="zh-CN"/>
        </w:rPr>
        <w:t>长</w:t>
      </w:r>
      <w:r>
        <w:rPr>
          <w:rFonts w:hint="eastAsia" w:ascii="仿宋_GB2312"/>
          <w:sz w:val="32"/>
          <w:szCs w:val="32"/>
          <w:lang w:val="en-US" w:eastAsia="zh-CN"/>
        </w:rPr>
        <w:t>11.11%，增</w:t>
      </w:r>
      <w:r>
        <w:rPr>
          <w:rFonts w:hint="eastAsia" w:ascii="仿宋_GB2312"/>
          <w:sz w:val="32"/>
          <w:szCs w:val="32"/>
          <w:lang w:eastAsia="zh-CN"/>
        </w:rPr>
        <w:t>长</w:t>
      </w:r>
      <w:r>
        <w:rPr>
          <w:rFonts w:hint="eastAsia" w:ascii="仿宋_GB2312"/>
          <w:sz w:val="32"/>
          <w:szCs w:val="32"/>
          <w:lang w:val="en-US" w:eastAsia="zh-CN"/>
        </w:rPr>
        <w:t>原因：南宁、武鸣两个校区办学，用水量增加；电费16万元，与上年持平；邮电费4万元，与上年持平；差旅费19万元，同比减少3.8万元，减少16.67%，减少原因：学校因招生、学生实习等工作安排职工出差减少；维修(护)费12.24万元，同比减少10.76万元，减少46.78%，减少原因：响应国家过“紧日子”政策，精简维修(护)费支出；专用材料费8万元，同比减少7万元，减少46.67%，减少原因：学生人数减少，上课实习耗材费用支出减少；劳务费8.68万元，同比增加1.08万元，增</w:t>
      </w:r>
      <w:r>
        <w:rPr>
          <w:rFonts w:hint="eastAsia" w:ascii="仿宋_GB2312"/>
          <w:sz w:val="32"/>
          <w:szCs w:val="32"/>
          <w:lang w:eastAsia="zh-CN"/>
        </w:rPr>
        <w:t>长</w:t>
      </w:r>
      <w:r>
        <w:rPr>
          <w:rFonts w:hint="eastAsia" w:ascii="仿宋_GB2312"/>
          <w:sz w:val="32"/>
          <w:szCs w:val="32"/>
          <w:lang w:val="en-US" w:eastAsia="zh-CN"/>
        </w:rPr>
        <w:t>14.21%，增加原因：特种作业培训、党建活动、团委活动、妇委会活动聘请上课人员增加；福利费9万元，同比减少4万元，减少30.77%，减少原因：响应国家过“紧日子”政策，减少福利费支出；印刷费6.2万元，同比减少2.3万元，减少27.06%，减少原因：校园宣传制作印刷服务减少。其他商品和服务支出32.16万元，同比减少17.46万元，减少35.19%，减少原因：免学费项目收入减少，支付武鸣校区广西安全工程职业技术学院保洁、保安费减少；租赁费1.5万元，同比增加0.5万元，增</w:t>
      </w:r>
      <w:r>
        <w:rPr>
          <w:rFonts w:hint="eastAsia" w:ascii="仿宋_GB2312"/>
          <w:sz w:val="32"/>
          <w:szCs w:val="32"/>
          <w:lang w:eastAsia="zh-CN"/>
        </w:rPr>
        <w:t>长</w:t>
      </w:r>
      <w:r>
        <w:rPr>
          <w:rFonts w:hint="eastAsia" w:ascii="仿宋_GB2312"/>
          <w:sz w:val="32"/>
          <w:szCs w:val="32"/>
          <w:lang w:val="en-US" w:eastAsia="zh-CN"/>
        </w:rPr>
        <w:t>50%；增加原因：党建、妇委、团委、工会活动场地租赁费增加。其他交通费:18.46万元，同比增加0.26万元，增</w:t>
      </w:r>
      <w:r>
        <w:rPr>
          <w:rFonts w:hint="eastAsia" w:ascii="仿宋_GB2312"/>
          <w:sz w:val="32"/>
          <w:szCs w:val="32"/>
          <w:lang w:eastAsia="zh-CN"/>
        </w:rPr>
        <w:t>长</w:t>
      </w:r>
      <w:r>
        <w:rPr>
          <w:rFonts w:hint="eastAsia" w:ascii="仿宋_GB2312"/>
          <w:sz w:val="32"/>
          <w:szCs w:val="32"/>
          <w:lang w:val="en-US" w:eastAsia="zh-CN"/>
        </w:rPr>
        <w:t>1.43%，增</w:t>
      </w:r>
      <w:r>
        <w:rPr>
          <w:rFonts w:hint="eastAsia" w:ascii="仿宋_GB2312"/>
          <w:sz w:val="32"/>
          <w:szCs w:val="32"/>
          <w:lang w:eastAsia="zh-CN"/>
        </w:rPr>
        <w:t>长</w:t>
      </w:r>
      <w:r>
        <w:rPr>
          <w:rFonts w:hint="eastAsia" w:ascii="仿宋_GB2312"/>
          <w:sz w:val="32"/>
          <w:szCs w:val="32"/>
          <w:lang w:val="en-US" w:eastAsia="zh-CN"/>
        </w:rPr>
        <w:t>原因：校车、外出租车费用增加；公务接待费:3万元，与上年持平；培训费:9万元，同比增加3万元，增</w:t>
      </w:r>
      <w:r>
        <w:rPr>
          <w:rFonts w:hint="eastAsia" w:ascii="仿宋_GB2312"/>
          <w:sz w:val="32"/>
          <w:szCs w:val="32"/>
          <w:lang w:eastAsia="zh-CN"/>
        </w:rPr>
        <w:t>长</w:t>
      </w:r>
      <w:r>
        <w:rPr>
          <w:rFonts w:hint="eastAsia" w:ascii="仿宋_GB2312"/>
          <w:sz w:val="32"/>
          <w:szCs w:val="32"/>
          <w:lang w:val="en-US" w:eastAsia="zh-CN"/>
        </w:rPr>
        <w:t>50%，增</w:t>
      </w:r>
      <w:r>
        <w:rPr>
          <w:rFonts w:hint="eastAsia" w:ascii="仿宋_GB2312"/>
          <w:sz w:val="32"/>
          <w:szCs w:val="32"/>
          <w:lang w:eastAsia="zh-CN"/>
        </w:rPr>
        <w:t>长</w:t>
      </w:r>
      <w:r>
        <w:rPr>
          <w:rFonts w:hint="eastAsia" w:ascii="仿宋_GB2312"/>
          <w:sz w:val="32"/>
          <w:szCs w:val="32"/>
          <w:lang w:val="en-US" w:eastAsia="zh-CN"/>
        </w:rPr>
        <w:t>原因：组织教师外出培训增加；公务用车运行维护费:6万元，与上年持平；</w:t>
      </w:r>
      <w:r>
        <w:rPr>
          <w:rFonts w:hint="eastAsia" w:ascii="仿宋_GB2312" w:hAnsi="Times New Roman" w:cs="Times New Roman"/>
          <w:sz w:val="32"/>
          <w:szCs w:val="32"/>
          <w:lang w:val="en-US" w:eastAsia="zh-CN"/>
        </w:rPr>
        <w:t>税金及附加费：5万元，同比增加5万元，增长100%，增长原因：开展培训规模扩大，取得收入增加，需要缴纳相关税费。专用</w:t>
      </w:r>
      <w:r>
        <w:rPr>
          <w:rFonts w:hint="eastAsia" w:ascii="仿宋_GB2312"/>
          <w:sz w:val="32"/>
          <w:szCs w:val="32"/>
          <w:lang w:val="en-US" w:eastAsia="zh-CN"/>
        </w:rPr>
        <w:t>设备购置：15.56万元，同比</w:t>
      </w:r>
      <w:r>
        <w:rPr>
          <w:rFonts w:hint="eastAsia" w:ascii="仿宋_GB2312" w:hAnsi="Times New Roman" w:cs="Times New Roman"/>
          <w:sz w:val="32"/>
          <w:szCs w:val="32"/>
          <w:lang w:val="en-US" w:eastAsia="zh-CN"/>
        </w:rPr>
        <w:t>增加</w:t>
      </w:r>
      <w:r>
        <w:rPr>
          <w:rFonts w:hint="eastAsia" w:ascii="仿宋_GB2312"/>
          <w:sz w:val="32"/>
          <w:szCs w:val="32"/>
          <w:lang w:val="en-US" w:eastAsia="zh-CN"/>
        </w:rPr>
        <w:t>1.16万元，</w:t>
      </w:r>
      <w:r>
        <w:rPr>
          <w:rFonts w:hint="eastAsia" w:ascii="仿宋_GB2312" w:hAnsi="Times New Roman" w:cs="Times New Roman"/>
          <w:sz w:val="32"/>
          <w:szCs w:val="32"/>
          <w:lang w:val="en-US" w:eastAsia="zh-CN"/>
        </w:rPr>
        <w:t>增长</w:t>
      </w:r>
      <w:r>
        <w:rPr>
          <w:rFonts w:hint="eastAsia" w:ascii="仿宋_GB2312"/>
          <w:sz w:val="32"/>
          <w:szCs w:val="32"/>
          <w:lang w:val="en-US" w:eastAsia="zh-CN"/>
        </w:rPr>
        <w:t>8.06%，</w:t>
      </w:r>
      <w:r>
        <w:rPr>
          <w:rFonts w:hint="eastAsia" w:ascii="仿宋_GB2312" w:hAnsi="Times New Roman" w:cs="Times New Roman"/>
          <w:sz w:val="32"/>
          <w:szCs w:val="32"/>
          <w:lang w:val="en-US" w:eastAsia="zh-CN"/>
        </w:rPr>
        <w:t>增长</w:t>
      </w:r>
      <w:r>
        <w:rPr>
          <w:rFonts w:hint="eastAsia" w:ascii="仿宋_GB2312"/>
          <w:sz w:val="32"/>
          <w:szCs w:val="32"/>
          <w:lang w:val="en-US" w:eastAsia="zh-CN"/>
        </w:rPr>
        <w:t>原因：大力发展职业教育，教学设备购置增加；办公设备购置9.95万元，同比增加1.47万元，增长17.33%，增加原因：</w:t>
      </w:r>
      <w:r>
        <w:rPr>
          <w:rFonts w:hint="eastAsia" w:ascii="仿宋_GB2312" w:hAnsi="Times New Roman" w:cs="Times New Roman"/>
          <w:sz w:val="32"/>
          <w:szCs w:val="32"/>
          <w:lang w:val="en-US" w:eastAsia="zh-CN"/>
        </w:rPr>
        <w:t>开展培训规模扩大，</w:t>
      </w:r>
      <w:r>
        <w:rPr>
          <w:rFonts w:hint="eastAsia" w:ascii="仿宋_GB2312" w:cs="Times New Roman"/>
          <w:sz w:val="32"/>
          <w:szCs w:val="32"/>
          <w:lang w:val="en-US" w:eastAsia="zh-CN"/>
        </w:rPr>
        <w:t>需要增加</w:t>
      </w:r>
      <w:r>
        <w:rPr>
          <w:rFonts w:hint="eastAsia" w:ascii="仿宋_GB2312"/>
          <w:sz w:val="32"/>
          <w:szCs w:val="32"/>
          <w:lang w:val="en-US" w:eastAsia="zh-CN"/>
        </w:rPr>
        <w:t>办公设备购置满足办公需求。物业管理费46万元，同比增加4万元，</w:t>
      </w:r>
      <w:r>
        <w:rPr>
          <w:rFonts w:hint="eastAsia" w:ascii="仿宋_GB2312" w:hAnsi="宋体"/>
          <w:szCs w:val="32"/>
          <w:lang w:val="en-US" w:eastAsia="zh-CN"/>
        </w:rPr>
        <w:t>增长</w:t>
      </w:r>
      <w:r>
        <w:rPr>
          <w:rFonts w:hint="eastAsia" w:ascii="仿宋_GB2312"/>
          <w:sz w:val="32"/>
          <w:szCs w:val="32"/>
          <w:lang w:val="en-US" w:eastAsia="zh-CN"/>
        </w:rPr>
        <w:t>9.52%，增加原因：校园军事化管理、安保、保洁费用增加。</w:t>
      </w:r>
    </w:p>
    <w:p w14:paraId="7CBA140E">
      <w:pPr>
        <w:tabs>
          <w:tab w:val="center" w:pos="4475"/>
        </w:tabs>
        <w:spacing w:line="560" w:lineRule="exact"/>
        <w:ind w:firstLine="645"/>
        <w:rPr>
          <w:rFonts w:hint="eastAsia" w:ascii="楷体_GB2312" w:hAnsi="楷体_GB2312" w:eastAsia="楷体_GB2312" w:cs="楷体_GB2312"/>
          <w:kern w:val="0"/>
        </w:rPr>
      </w:pPr>
      <w:r>
        <w:rPr>
          <w:rFonts w:hint="eastAsia" w:ascii="黑体" w:hAnsi="黑体" w:eastAsia="黑体" w:cs="黑体"/>
          <w:szCs w:val="32"/>
          <w:lang w:eastAsia="zh-CN"/>
        </w:rPr>
        <w:t>八、</w:t>
      </w:r>
      <w:r>
        <w:rPr>
          <w:rFonts w:hint="eastAsia" w:ascii="黑体" w:hAnsi="黑体" w:eastAsia="黑体" w:cs="黑体"/>
          <w:kern w:val="0"/>
        </w:rPr>
        <w:t>政府采购预算安排情况说明</w:t>
      </w:r>
    </w:p>
    <w:p w14:paraId="1195DA3A">
      <w:pPr>
        <w:tabs>
          <w:tab w:val="center" w:pos="4475"/>
        </w:tabs>
        <w:spacing w:line="560" w:lineRule="exact"/>
        <w:ind w:firstLine="645"/>
        <w:rPr>
          <w:rFonts w:hint="eastAsia" w:ascii="仿宋_GB2312" w:hAnsi="宋体"/>
          <w:szCs w:val="32"/>
        </w:rPr>
      </w:pPr>
      <w:r>
        <w:rPr>
          <w:rFonts w:hint="eastAsia" w:ascii="仿宋_GB2312" w:hAnsi="宋体"/>
          <w:szCs w:val="32"/>
        </w:rPr>
        <w:t>我单位2025年政府采购预算总金额71.44万元，同比减少28.57万元，下降28.57％；减少原因：免学费项目资金减少，购买教学设备减少。</w:t>
      </w:r>
      <w:r>
        <w:rPr>
          <w:rFonts w:hint="eastAsia" w:ascii="仿宋_GB2312" w:hAnsi="宋体"/>
          <w:szCs w:val="32"/>
          <w:lang w:val="en-US" w:eastAsia="zh-CN"/>
        </w:rPr>
        <w:t>其中：</w:t>
      </w:r>
      <w:r>
        <w:rPr>
          <w:rFonts w:hint="eastAsia" w:ascii="仿宋_GB2312" w:hAnsi="宋体"/>
          <w:szCs w:val="32"/>
        </w:rPr>
        <w:t>货物类采购14.24万元，占政府采购预算19.93％；工程类采购0万元，占政府采购预算0％；服务类采购57.2万元，占政府采购预算80.07％。</w:t>
      </w:r>
    </w:p>
    <w:p w14:paraId="24897EDA">
      <w:pPr>
        <w:tabs>
          <w:tab w:val="center" w:pos="4475"/>
        </w:tabs>
        <w:spacing w:line="560" w:lineRule="exact"/>
        <w:ind w:firstLine="645"/>
        <w:rPr>
          <w:rFonts w:hint="eastAsia" w:ascii="楷体_GB2312" w:hAnsi="楷体_GB2312" w:eastAsia="楷体_GB2312" w:cs="楷体_GB2312"/>
          <w:kern w:val="0"/>
          <w:lang w:eastAsia="zh-CN"/>
        </w:rPr>
      </w:pPr>
      <w:r>
        <w:rPr>
          <w:rFonts w:hint="eastAsia" w:ascii="黑体" w:hAnsi="黑体" w:eastAsia="黑体" w:cs="黑体"/>
          <w:kern w:val="0"/>
          <w:lang w:eastAsia="zh-CN"/>
        </w:rPr>
        <w:t>九、</w:t>
      </w:r>
      <w:r>
        <w:rPr>
          <w:rFonts w:hint="eastAsia" w:ascii="黑体" w:hAnsi="黑体" w:eastAsia="黑体" w:cs="黑体"/>
          <w:kern w:val="0"/>
        </w:rPr>
        <w:t>国有资产占用情况说明</w:t>
      </w:r>
    </w:p>
    <w:p w14:paraId="117E71FF">
      <w:pPr>
        <w:tabs>
          <w:tab w:val="center" w:pos="4475"/>
        </w:tabs>
        <w:spacing w:line="560" w:lineRule="exact"/>
        <w:ind w:firstLine="645"/>
        <w:rPr>
          <w:rFonts w:hint="eastAsia" w:ascii="仿宋_GB2312" w:hAnsi="宋体" w:cs="Times New Roman"/>
          <w:szCs w:val="32"/>
        </w:rPr>
      </w:pPr>
      <w:r>
        <w:rPr>
          <w:rFonts w:hint="eastAsia" w:ascii="仿宋_GB2312" w:hAnsi="宋体" w:cs="Times New Roman"/>
          <w:szCs w:val="32"/>
        </w:rPr>
        <w:t>现有一般公务用车</w:t>
      </w:r>
      <w:r>
        <w:rPr>
          <w:rFonts w:hint="eastAsia" w:ascii="仿宋_GB2312" w:hAnsi="宋体" w:cs="Times New Roman"/>
          <w:szCs w:val="32"/>
          <w:lang w:val="en-US" w:eastAsia="zh-CN"/>
        </w:rPr>
        <w:t>两</w:t>
      </w:r>
      <w:r>
        <w:rPr>
          <w:rFonts w:hint="eastAsia" w:ascii="仿宋_GB2312" w:hAnsi="宋体" w:cs="Times New Roman"/>
          <w:szCs w:val="32"/>
        </w:rPr>
        <w:t>辆，同比增加</w:t>
      </w:r>
      <w:r>
        <w:rPr>
          <w:rFonts w:hint="eastAsia" w:ascii="仿宋_GB2312" w:hAnsi="宋体" w:cs="Times New Roman"/>
          <w:szCs w:val="32"/>
          <w:lang w:val="en-US" w:eastAsia="zh-CN"/>
        </w:rPr>
        <w:t>1辆</w:t>
      </w:r>
      <w:r>
        <w:rPr>
          <w:rFonts w:hint="eastAsia" w:ascii="仿宋_GB2312" w:hAnsi="宋体" w:cs="Times New Roman"/>
          <w:szCs w:val="32"/>
        </w:rPr>
        <w:t>，增长1</w:t>
      </w:r>
      <w:r>
        <w:rPr>
          <w:rFonts w:hint="eastAsia" w:ascii="仿宋_GB2312" w:hAnsi="宋体" w:cs="Times New Roman"/>
          <w:szCs w:val="32"/>
          <w:lang w:val="en-US" w:eastAsia="zh-CN"/>
        </w:rPr>
        <w:t>00</w:t>
      </w:r>
      <w:r>
        <w:rPr>
          <w:rFonts w:hint="eastAsia" w:ascii="仿宋_GB2312" w:hAnsi="宋体" w:cs="Times New Roman"/>
          <w:szCs w:val="32"/>
        </w:rPr>
        <w:t>%，增加</w:t>
      </w:r>
      <w:r>
        <w:rPr>
          <w:rFonts w:hint="eastAsia" w:ascii="仿宋_GB2312" w:hAnsi="宋体" w:cs="Times New Roman"/>
          <w:szCs w:val="32"/>
          <w:lang w:val="en-US" w:eastAsia="zh-CN"/>
        </w:rPr>
        <w:t>原因：</w:t>
      </w:r>
      <w:r>
        <w:rPr>
          <w:rFonts w:hint="eastAsia" w:ascii="仿宋_GB2312" w:hAnsi="宋体" w:cs="Times New Roman"/>
          <w:szCs w:val="32"/>
        </w:rPr>
        <w:t>用于开展行政业务、在武鸣、南宁等地参</w:t>
      </w:r>
      <w:bookmarkStart w:id="0" w:name="_GoBack"/>
      <w:bookmarkEnd w:id="0"/>
      <w:r>
        <w:rPr>
          <w:rFonts w:hint="eastAsia" w:ascii="仿宋_GB2312" w:hAnsi="宋体" w:cs="Times New Roman"/>
          <w:szCs w:val="32"/>
        </w:rPr>
        <w:t>加会议、招生就业工作、处理学校日常或突发事件等需要派车。</w:t>
      </w:r>
    </w:p>
    <w:p w14:paraId="63C30022">
      <w:pPr>
        <w:tabs>
          <w:tab w:val="center" w:pos="4475"/>
        </w:tabs>
        <w:spacing w:line="560" w:lineRule="exact"/>
        <w:ind w:firstLine="645"/>
        <w:rPr>
          <w:rFonts w:hint="eastAsia" w:ascii="楷体_GB2312" w:hAnsi="楷体_GB2312" w:eastAsia="楷体_GB2312" w:cs="楷体_GB2312"/>
          <w:szCs w:val="32"/>
        </w:rPr>
      </w:pPr>
      <w:r>
        <w:rPr>
          <w:rFonts w:hint="eastAsia" w:ascii="黑体" w:hAnsi="黑体" w:eastAsia="黑体" w:cs="黑体"/>
          <w:szCs w:val="32"/>
          <w:lang w:eastAsia="zh-CN"/>
        </w:rPr>
        <w:t>十、</w:t>
      </w:r>
      <w:r>
        <w:rPr>
          <w:rFonts w:hint="eastAsia" w:ascii="黑体" w:hAnsi="黑体" w:eastAsia="黑体" w:cs="黑体"/>
          <w:szCs w:val="32"/>
        </w:rPr>
        <w:t>预算绩效目标情况说明</w:t>
      </w:r>
    </w:p>
    <w:p w14:paraId="1D845F56">
      <w:pPr>
        <w:tabs>
          <w:tab w:val="center" w:pos="4475"/>
        </w:tabs>
        <w:suppressAutoHyphens w:val="0"/>
        <w:autoSpaceDN w:val="0"/>
        <w:spacing w:line="560" w:lineRule="exact"/>
        <w:ind w:firstLine="645"/>
        <w:rPr>
          <w:rFonts w:hint="eastAsia" w:ascii="仿宋_GB2312" w:hAnsi="宋体"/>
          <w:szCs w:val="32"/>
          <w:highlight w:val="none"/>
          <w:lang w:val="en-US" w:eastAsia="zh-CN"/>
        </w:rPr>
      </w:pPr>
      <w:r>
        <w:rPr>
          <w:rFonts w:hint="eastAsia" w:ascii="仿宋_GB2312" w:cs="仿宋_GB2312"/>
          <w:b w:val="0"/>
          <w:bCs w:val="0"/>
          <w:caps w:val="0"/>
          <w:color w:val="auto"/>
          <w:kern w:val="2"/>
          <w:sz w:val="32"/>
          <w:szCs w:val="32"/>
          <w:vertAlign w:val="baseline"/>
          <w:lang w:val="en-US" w:eastAsia="zh-CN" w:bidi="ar"/>
        </w:rPr>
        <w:t>（一）</w:t>
      </w:r>
      <w:r>
        <w:rPr>
          <w:rFonts w:hint="eastAsia" w:ascii="仿宋_GB2312" w:hAnsi="Times New Roman" w:eastAsia="仿宋_GB2312" w:cs="仿宋_GB2312"/>
          <w:b w:val="0"/>
          <w:bCs w:val="0"/>
          <w:caps w:val="0"/>
          <w:color w:val="auto"/>
          <w:kern w:val="2"/>
          <w:sz w:val="32"/>
          <w:szCs w:val="32"/>
          <w:vertAlign w:val="baseline"/>
          <w:lang w:val="en-US" w:eastAsia="zh-CN" w:bidi="ar"/>
        </w:rPr>
        <w:t>我</w:t>
      </w:r>
      <w:r>
        <w:rPr>
          <w:rFonts w:hint="eastAsia" w:ascii="仿宋_GB2312" w:cs="仿宋_GB2312"/>
          <w:b w:val="0"/>
          <w:bCs w:val="0"/>
          <w:caps w:val="0"/>
          <w:color w:val="auto"/>
          <w:kern w:val="2"/>
          <w:sz w:val="32"/>
          <w:szCs w:val="32"/>
          <w:vertAlign w:val="baseline"/>
          <w:lang w:val="en-US" w:eastAsia="zh-CN" w:bidi="ar"/>
        </w:rPr>
        <w:t>单位</w:t>
      </w:r>
      <w:r>
        <w:rPr>
          <w:rFonts w:hint="eastAsia" w:ascii="仿宋_GB2312" w:hAnsi="Times New Roman" w:eastAsia="仿宋_GB2312" w:cs="仿宋_GB2312"/>
          <w:b w:val="0"/>
          <w:bCs w:val="0"/>
          <w:caps w:val="0"/>
          <w:color w:val="auto"/>
          <w:kern w:val="2"/>
          <w:sz w:val="32"/>
          <w:szCs w:val="32"/>
          <w:vertAlign w:val="baseline"/>
          <w:lang w:val="en-US" w:eastAsia="zh-CN" w:bidi="ar"/>
        </w:rPr>
        <w:t>2025年所有项目支出全面实施绩效目标管理，涉及自治区本级项目</w:t>
      </w:r>
      <w:r>
        <w:rPr>
          <w:rFonts w:hint="eastAsia" w:ascii="仿宋_GB2312" w:cs="仿宋_GB2312"/>
          <w:b w:val="0"/>
          <w:bCs w:val="0"/>
          <w:caps w:val="0"/>
          <w:color w:val="auto"/>
          <w:kern w:val="2"/>
          <w:sz w:val="32"/>
          <w:szCs w:val="32"/>
          <w:vertAlign w:val="baseline"/>
          <w:lang w:val="en-US" w:eastAsia="zh-CN" w:bidi="ar"/>
        </w:rPr>
        <w:t>13</w:t>
      </w:r>
      <w:r>
        <w:rPr>
          <w:rFonts w:hint="eastAsia" w:ascii="仿宋_GB2312" w:hAnsi="Times New Roman" w:eastAsia="仿宋_GB2312" w:cs="仿宋_GB2312"/>
          <w:b w:val="0"/>
          <w:bCs w:val="0"/>
          <w:caps w:val="0"/>
          <w:color w:val="auto"/>
          <w:kern w:val="2"/>
          <w:sz w:val="32"/>
          <w:szCs w:val="32"/>
          <w:vertAlign w:val="baseline"/>
          <w:lang w:val="en-US" w:eastAsia="zh-CN" w:bidi="ar"/>
        </w:rPr>
        <w:t>个，预算资金</w:t>
      </w:r>
      <w:r>
        <w:rPr>
          <w:rFonts w:hint="eastAsia" w:ascii="仿宋_GB2312" w:cs="仿宋_GB2312"/>
          <w:b w:val="0"/>
          <w:bCs w:val="0"/>
          <w:caps w:val="0"/>
          <w:color w:val="auto"/>
          <w:kern w:val="2"/>
          <w:sz w:val="32"/>
          <w:szCs w:val="32"/>
          <w:vertAlign w:val="baseline"/>
          <w:lang w:val="en-US" w:eastAsia="zh-CN" w:bidi="ar"/>
        </w:rPr>
        <w:t>503.22</w:t>
      </w:r>
      <w:r>
        <w:rPr>
          <w:rFonts w:hint="eastAsia" w:ascii="仿宋_GB2312" w:hAnsi="Times New Roman" w:eastAsia="仿宋_GB2312" w:cs="仿宋_GB2312"/>
          <w:b w:val="0"/>
          <w:bCs w:val="0"/>
          <w:caps w:val="0"/>
          <w:color w:val="auto"/>
          <w:kern w:val="2"/>
          <w:sz w:val="32"/>
          <w:szCs w:val="32"/>
          <w:vertAlign w:val="baseline"/>
          <w:lang w:val="en-US" w:eastAsia="zh-CN" w:bidi="ar"/>
        </w:rPr>
        <w:t>万元。绩效目标情况详见报表。</w:t>
      </w:r>
    </w:p>
    <w:p w14:paraId="3C794BCD">
      <w:pPr>
        <w:tabs>
          <w:tab w:val="center" w:pos="4475"/>
        </w:tabs>
        <w:spacing w:line="560" w:lineRule="exact"/>
        <w:ind w:firstLine="640" w:firstLineChars="200"/>
        <w:rPr>
          <w:rFonts w:hint="default" w:ascii="黑体" w:eastAsia="黑体"/>
          <w:szCs w:val="32"/>
          <w:lang w:val="en-US" w:eastAsia="zh-CN"/>
        </w:rPr>
      </w:pPr>
      <w:r>
        <w:rPr>
          <w:rFonts w:hint="eastAsia" w:ascii="仿宋_GB2312"/>
          <w:sz w:val="32"/>
          <w:szCs w:val="32"/>
          <w:lang w:val="en-US" w:eastAsia="zh-CN"/>
        </w:rPr>
        <w:t>（二）重点项目预算绩效目标说明。</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2"/>
        <w:gridCol w:w="3060"/>
        <w:gridCol w:w="3909"/>
      </w:tblGrid>
      <w:tr w14:paraId="72F78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2" w:type="dxa"/>
            <w:noWrap w:val="0"/>
            <w:vAlign w:val="top"/>
          </w:tcPr>
          <w:p w14:paraId="7B4A39D0">
            <w:pPr>
              <w:tabs>
                <w:tab w:val="center" w:pos="4475"/>
              </w:tabs>
              <w:spacing w:line="560" w:lineRule="exact"/>
              <w:jc w:val="center"/>
              <w:rPr>
                <w:rFonts w:hint="eastAsia" w:ascii="仿宋_GB2312" w:hAnsi="仿宋_GB2312" w:eastAsia="仿宋_GB2312" w:cs="仿宋_GB2312"/>
                <w:b/>
                <w:bCs/>
                <w:szCs w:val="32"/>
                <w:vertAlign w:val="baseline"/>
                <w:lang w:eastAsia="zh-CN"/>
              </w:rPr>
            </w:pPr>
            <w:r>
              <w:rPr>
                <w:rFonts w:hint="eastAsia" w:ascii="仿宋_GB2312" w:hAnsi="仿宋_GB2312" w:eastAsia="仿宋_GB2312" w:cs="仿宋_GB2312"/>
                <w:b/>
                <w:bCs/>
                <w:szCs w:val="32"/>
                <w:vertAlign w:val="baseline"/>
                <w:lang w:eastAsia="zh-CN"/>
              </w:rPr>
              <w:t>项目名称</w:t>
            </w:r>
          </w:p>
        </w:tc>
        <w:tc>
          <w:tcPr>
            <w:tcW w:w="3060" w:type="dxa"/>
            <w:noWrap w:val="0"/>
            <w:vAlign w:val="top"/>
          </w:tcPr>
          <w:p w14:paraId="4C45CCDD">
            <w:pPr>
              <w:tabs>
                <w:tab w:val="center" w:pos="4475"/>
              </w:tabs>
              <w:spacing w:line="560" w:lineRule="exact"/>
              <w:jc w:val="center"/>
              <w:rPr>
                <w:rFonts w:hint="eastAsia" w:ascii="仿宋_GB2312" w:hAnsi="仿宋_GB2312" w:eastAsia="仿宋_GB2312" w:cs="仿宋_GB2312"/>
                <w:b/>
                <w:bCs/>
                <w:szCs w:val="32"/>
                <w:vertAlign w:val="baseline"/>
                <w:lang w:eastAsia="zh-CN"/>
              </w:rPr>
            </w:pPr>
            <w:r>
              <w:rPr>
                <w:rFonts w:hint="eastAsia" w:ascii="仿宋_GB2312" w:hAnsi="仿宋_GB2312" w:eastAsia="仿宋_GB2312" w:cs="仿宋_GB2312"/>
                <w:b/>
                <w:bCs/>
                <w:szCs w:val="32"/>
                <w:vertAlign w:val="baseline"/>
                <w:lang w:eastAsia="zh-CN"/>
              </w:rPr>
              <w:t>预算数（单位：万元）</w:t>
            </w:r>
          </w:p>
        </w:tc>
        <w:tc>
          <w:tcPr>
            <w:tcW w:w="3909" w:type="dxa"/>
            <w:noWrap w:val="0"/>
            <w:vAlign w:val="top"/>
          </w:tcPr>
          <w:p w14:paraId="247838A1">
            <w:pPr>
              <w:tabs>
                <w:tab w:val="center" w:pos="4475"/>
              </w:tabs>
              <w:spacing w:line="560" w:lineRule="exact"/>
              <w:jc w:val="center"/>
              <w:rPr>
                <w:rFonts w:hint="eastAsia" w:ascii="仿宋_GB2312" w:hAnsi="仿宋_GB2312" w:eastAsia="仿宋_GB2312" w:cs="仿宋_GB2312"/>
                <w:b/>
                <w:bCs/>
                <w:szCs w:val="32"/>
                <w:vertAlign w:val="baseline"/>
                <w:lang w:eastAsia="zh-CN"/>
              </w:rPr>
            </w:pPr>
            <w:r>
              <w:rPr>
                <w:rFonts w:hint="eastAsia" w:ascii="仿宋_GB2312" w:hAnsi="仿宋_GB2312" w:eastAsia="仿宋_GB2312" w:cs="仿宋_GB2312"/>
                <w:b/>
                <w:bCs/>
                <w:szCs w:val="32"/>
                <w:vertAlign w:val="baseline"/>
                <w:lang w:eastAsia="zh-CN"/>
              </w:rPr>
              <w:t>绩效目标</w:t>
            </w:r>
          </w:p>
        </w:tc>
      </w:tr>
      <w:tr w14:paraId="7E65D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2" w:type="dxa"/>
            <w:noWrap w:val="0"/>
            <w:vAlign w:val="top"/>
          </w:tcPr>
          <w:p w14:paraId="08FC3571">
            <w:pPr>
              <w:tabs>
                <w:tab w:val="center" w:pos="4475"/>
              </w:tabs>
              <w:spacing w:line="560" w:lineRule="exact"/>
              <w:rPr>
                <w:rFonts w:hint="default" w:ascii="仿宋_GB2312" w:hAnsi="仿宋_GB2312" w:eastAsia="仿宋_GB2312" w:cs="仿宋_GB2312"/>
                <w:szCs w:val="32"/>
                <w:vertAlign w:val="baseline"/>
                <w:lang w:eastAsia="zh-CN"/>
              </w:rPr>
            </w:pPr>
            <w:r>
              <w:rPr>
                <w:rFonts w:hint="eastAsia" w:ascii="仿宋_GB2312" w:hAnsi="仿宋_GB2312" w:eastAsia="仿宋_GB2312" w:cs="仿宋_GB2312"/>
                <w:szCs w:val="32"/>
                <w:vertAlign w:val="baseline"/>
                <w:lang w:eastAsia="zh-CN"/>
              </w:rPr>
              <w:t>事业单位在职人员绩效工资</w:t>
            </w:r>
            <w:r>
              <w:rPr>
                <w:rFonts w:hint="eastAsia" w:ascii="仿宋_GB2312" w:hAnsi="仿宋_GB2312" w:cs="仿宋_GB2312"/>
                <w:szCs w:val="32"/>
                <w:vertAlign w:val="baseline"/>
                <w:lang w:val="en-US" w:eastAsia="zh-CN"/>
              </w:rPr>
              <w:t xml:space="preserve"> </w:t>
            </w:r>
          </w:p>
        </w:tc>
        <w:tc>
          <w:tcPr>
            <w:tcW w:w="3060" w:type="dxa"/>
            <w:noWrap w:val="0"/>
            <w:vAlign w:val="top"/>
          </w:tcPr>
          <w:p w14:paraId="728911CA">
            <w:pPr>
              <w:tabs>
                <w:tab w:val="center" w:pos="4475"/>
              </w:tabs>
              <w:spacing w:line="560" w:lineRule="exact"/>
              <w:jc w:val="center"/>
              <w:rPr>
                <w:rFonts w:hint="default" w:ascii="仿宋_GB2312" w:hAnsi="仿宋_GB2312" w:eastAsia="仿宋_GB2312" w:cs="仿宋_GB2312"/>
                <w:szCs w:val="32"/>
                <w:vertAlign w:val="baseline"/>
                <w:lang w:val="en-US"/>
              </w:rPr>
            </w:pPr>
            <w:r>
              <w:rPr>
                <w:rFonts w:hint="eastAsia" w:ascii="仿宋_GB2312" w:hAnsi="仿宋_GB2312" w:cs="仿宋_GB2312"/>
                <w:szCs w:val="32"/>
                <w:vertAlign w:val="baseline"/>
                <w:lang w:val="en-US" w:eastAsia="zh-CN"/>
              </w:rPr>
              <w:t>245.58</w:t>
            </w:r>
          </w:p>
        </w:tc>
        <w:tc>
          <w:tcPr>
            <w:tcW w:w="3909" w:type="dxa"/>
            <w:noWrap w:val="0"/>
            <w:vAlign w:val="top"/>
          </w:tcPr>
          <w:p w14:paraId="207E7B04">
            <w:pPr>
              <w:tabs>
                <w:tab w:val="center" w:pos="4475"/>
              </w:tabs>
              <w:spacing w:line="560" w:lineRule="exact"/>
              <w:rPr>
                <w:rFonts w:hint="eastAsia" w:ascii="仿宋_GB2312" w:hAnsi="仿宋_GB2312" w:cs="仿宋_GB2312"/>
                <w:szCs w:val="32"/>
                <w:vertAlign w:val="baseline"/>
                <w:lang w:val="en-US" w:eastAsia="zh-CN"/>
              </w:rPr>
            </w:pPr>
            <w:r>
              <w:rPr>
                <w:rFonts w:hint="eastAsia" w:ascii="仿宋_GB2312" w:hAnsi="仿宋_GB2312" w:cs="仿宋_GB2312"/>
                <w:szCs w:val="32"/>
                <w:vertAlign w:val="baseline"/>
                <w:lang w:val="en-US" w:eastAsia="zh-CN"/>
              </w:rPr>
              <w:t>通过该项目实施完成以下目标：</w:t>
            </w:r>
          </w:p>
          <w:p w14:paraId="4257F106">
            <w:pPr>
              <w:tabs>
                <w:tab w:val="center" w:pos="4475"/>
              </w:tabs>
              <w:spacing w:line="560" w:lineRule="exact"/>
              <w:rPr>
                <w:rFonts w:hint="eastAsia" w:ascii="仿宋_GB2312" w:hAnsi="仿宋_GB2312" w:cs="仿宋_GB2312"/>
                <w:szCs w:val="32"/>
                <w:vertAlign w:val="baseline"/>
                <w:lang w:eastAsia="zh-CN"/>
              </w:rPr>
            </w:pPr>
            <w:r>
              <w:rPr>
                <w:rFonts w:hint="eastAsia" w:ascii="仿宋_GB2312" w:hAnsi="仿宋_GB2312" w:cs="仿宋_GB2312"/>
                <w:szCs w:val="32"/>
                <w:vertAlign w:val="baseline"/>
                <w:lang w:eastAsia="zh-CN"/>
              </w:rPr>
              <w:t>预期产出：完成在职在编48人绩效工资发放。</w:t>
            </w:r>
          </w:p>
          <w:p w14:paraId="07D74754">
            <w:pPr>
              <w:tabs>
                <w:tab w:val="center" w:pos="4475"/>
              </w:tabs>
              <w:spacing w:line="560" w:lineRule="exact"/>
              <w:rPr>
                <w:rFonts w:hint="eastAsia" w:ascii="仿宋_GB2312" w:hAnsi="仿宋_GB2312" w:cs="仿宋_GB2312"/>
                <w:szCs w:val="32"/>
                <w:vertAlign w:val="baseline"/>
                <w:lang w:eastAsia="zh-CN"/>
              </w:rPr>
            </w:pPr>
            <w:r>
              <w:rPr>
                <w:rFonts w:hint="eastAsia" w:ascii="仿宋_GB2312" w:hAnsi="仿宋_GB2312" w:cs="仿宋_GB2312"/>
                <w:szCs w:val="32"/>
                <w:vertAlign w:val="baseline"/>
                <w:lang w:eastAsia="zh-CN"/>
              </w:rPr>
              <w:t>效益：提高职工收入，提高职工工作积极性，完成在职人员绩效工资发放。</w:t>
            </w:r>
          </w:p>
          <w:p w14:paraId="26A9AECB">
            <w:pPr>
              <w:tabs>
                <w:tab w:val="center" w:pos="4475"/>
              </w:tabs>
              <w:spacing w:line="560" w:lineRule="exact"/>
              <w:rPr>
                <w:rFonts w:hint="default" w:ascii="仿宋_GB2312" w:hAnsi="仿宋_GB2312" w:eastAsia="仿宋_GB2312" w:cs="仿宋_GB2312"/>
                <w:szCs w:val="32"/>
                <w:vertAlign w:val="baseline"/>
              </w:rPr>
            </w:pPr>
            <w:r>
              <w:rPr>
                <w:rFonts w:hint="eastAsia" w:ascii="仿宋_GB2312" w:hAnsi="仿宋_GB2312" w:cs="仿宋_GB2312"/>
                <w:szCs w:val="32"/>
                <w:vertAlign w:val="baseline"/>
                <w:lang w:eastAsia="zh-CN"/>
              </w:rPr>
              <w:t>满意度：教职工满意度≥ 96％</w:t>
            </w:r>
            <w:r>
              <w:rPr>
                <w:rFonts w:hint="eastAsia" w:ascii="仿宋_GB2312" w:hAnsi="仿宋_GB2312" w:cs="仿宋_GB2312"/>
                <w:szCs w:val="32"/>
                <w:vertAlign w:val="baseline"/>
                <w:lang w:val="en-US" w:eastAsia="zh-CN"/>
              </w:rPr>
              <w:t>。</w:t>
            </w:r>
          </w:p>
        </w:tc>
      </w:tr>
      <w:tr w14:paraId="00584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2" w:type="dxa"/>
            <w:noWrap w:val="0"/>
            <w:vAlign w:val="top"/>
          </w:tcPr>
          <w:p w14:paraId="29E1AAE4">
            <w:pPr>
              <w:tabs>
                <w:tab w:val="center" w:pos="4475"/>
              </w:tabs>
              <w:spacing w:line="560" w:lineRule="exact"/>
              <w:rPr>
                <w:rFonts w:hint="eastAsia" w:ascii="仿宋_GB2312" w:hAnsi="仿宋_GB2312" w:eastAsia="仿宋_GB2312" w:cs="仿宋_GB2312"/>
                <w:szCs w:val="32"/>
                <w:vertAlign w:val="baseline"/>
              </w:rPr>
            </w:pPr>
            <w:r>
              <w:rPr>
                <w:rFonts w:hint="eastAsia" w:ascii="仿宋_GB2312" w:hAnsi="仿宋_GB2312" w:eastAsia="仿宋_GB2312" w:cs="仿宋_GB2312"/>
                <w:szCs w:val="32"/>
                <w:vertAlign w:val="baseline"/>
              </w:rPr>
              <w:t>教学能力提升</w:t>
            </w:r>
          </w:p>
        </w:tc>
        <w:tc>
          <w:tcPr>
            <w:tcW w:w="3060" w:type="dxa"/>
            <w:noWrap w:val="0"/>
            <w:vAlign w:val="top"/>
          </w:tcPr>
          <w:p w14:paraId="18F9798D">
            <w:pPr>
              <w:tabs>
                <w:tab w:val="center" w:pos="4475"/>
              </w:tabs>
              <w:spacing w:line="560" w:lineRule="exact"/>
              <w:jc w:val="center"/>
              <w:rPr>
                <w:rFonts w:hint="eastAsia" w:ascii="仿宋_GB2312" w:hAnsi="仿宋_GB2312" w:eastAsia="仿宋_GB2312" w:cs="仿宋_GB2312"/>
                <w:szCs w:val="32"/>
                <w:vertAlign w:val="baseline"/>
              </w:rPr>
            </w:pPr>
            <w:r>
              <w:rPr>
                <w:rFonts w:hint="eastAsia" w:ascii="仿宋_GB2312" w:hAnsi="仿宋_GB2312" w:eastAsia="仿宋_GB2312" w:cs="仿宋_GB2312"/>
                <w:szCs w:val="32"/>
                <w:vertAlign w:val="baseline"/>
              </w:rPr>
              <w:t>18.94</w:t>
            </w:r>
          </w:p>
        </w:tc>
        <w:tc>
          <w:tcPr>
            <w:tcW w:w="3909" w:type="dxa"/>
            <w:noWrap w:val="0"/>
            <w:vAlign w:val="top"/>
          </w:tcPr>
          <w:p w14:paraId="36DF5630">
            <w:pPr>
              <w:tabs>
                <w:tab w:val="center" w:pos="4475"/>
              </w:tabs>
              <w:spacing w:line="560" w:lineRule="exact"/>
              <w:rPr>
                <w:rFonts w:hint="eastAsia" w:ascii="仿宋_GB2312" w:hAnsi="仿宋_GB2312" w:cs="仿宋_GB2312"/>
                <w:szCs w:val="32"/>
                <w:vertAlign w:val="baseline"/>
                <w:lang w:val="en-US" w:eastAsia="zh-CN"/>
              </w:rPr>
            </w:pPr>
            <w:r>
              <w:rPr>
                <w:rFonts w:hint="eastAsia" w:ascii="仿宋_GB2312" w:hAnsi="仿宋_GB2312" w:cs="仿宋_GB2312"/>
                <w:szCs w:val="32"/>
                <w:vertAlign w:val="baseline"/>
                <w:lang w:val="en-US" w:eastAsia="zh-CN"/>
              </w:rPr>
              <w:t>通过该项目实施完成以下目标：</w:t>
            </w:r>
          </w:p>
          <w:p w14:paraId="02FF5799">
            <w:pPr>
              <w:tabs>
                <w:tab w:val="center" w:pos="4475"/>
              </w:tabs>
              <w:spacing w:line="560" w:lineRule="exact"/>
              <w:rPr>
                <w:rFonts w:hint="eastAsia" w:ascii="仿宋_GB2312" w:hAnsi="仿宋_GB2312" w:eastAsia="仿宋_GB2312" w:cs="仿宋_GB2312"/>
                <w:szCs w:val="32"/>
                <w:vertAlign w:val="baseline"/>
              </w:rPr>
            </w:pPr>
            <w:r>
              <w:rPr>
                <w:rFonts w:hint="eastAsia" w:ascii="仿宋_GB2312" w:hAnsi="仿宋_GB2312" w:eastAsia="仿宋_GB2312" w:cs="仿宋_GB2312"/>
                <w:szCs w:val="32"/>
                <w:vertAlign w:val="baseline"/>
              </w:rPr>
              <w:t>预期产出：2025年购置办公设备一批；购置消防专业考证、比赛用设备一批；购置消防设备，完善消防实训室一间，在学生考证、比赛训练前15天完成采购。</w:t>
            </w:r>
          </w:p>
          <w:p w14:paraId="3B8393CF">
            <w:pPr>
              <w:tabs>
                <w:tab w:val="center" w:pos="4475"/>
              </w:tabs>
              <w:spacing w:line="560" w:lineRule="exact"/>
              <w:rPr>
                <w:rFonts w:hint="eastAsia" w:ascii="仿宋_GB2312" w:hAnsi="仿宋_GB2312" w:eastAsia="仿宋_GB2312" w:cs="仿宋_GB2312"/>
                <w:szCs w:val="32"/>
                <w:vertAlign w:val="baseline"/>
              </w:rPr>
            </w:pPr>
            <w:r>
              <w:rPr>
                <w:rFonts w:hint="eastAsia" w:ascii="仿宋_GB2312" w:hAnsi="仿宋_GB2312" w:eastAsia="仿宋_GB2312" w:cs="仿宋_GB2312"/>
                <w:szCs w:val="32"/>
                <w:vertAlign w:val="baseline"/>
              </w:rPr>
              <w:t>效益：办公设备利用率100％，购买办公用品，提高办公效率，受益教职工人数48人，提升教学质量，完成教学用设备采购，受益学生数400人。</w:t>
            </w:r>
          </w:p>
          <w:p w14:paraId="732A755F">
            <w:pPr>
              <w:tabs>
                <w:tab w:val="center" w:pos="4475"/>
              </w:tabs>
              <w:spacing w:line="560" w:lineRule="exact"/>
              <w:rPr>
                <w:rFonts w:hint="eastAsia" w:ascii="仿宋_GB2312" w:hAnsi="仿宋_GB2312" w:eastAsia="仿宋_GB2312" w:cs="仿宋_GB2312"/>
                <w:szCs w:val="32"/>
                <w:vertAlign w:val="baseline"/>
              </w:rPr>
            </w:pPr>
            <w:r>
              <w:rPr>
                <w:rFonts w:hint="eastAsia" w:ascii="仿宋_GB2312" w:hAnsi="仿宋_GB2312" w:eastAsia="仿宋_GB2312" w:cs="仿宋_GB2312"/>
                <w:szCs w:val="32"/>
                <w:vertAlign w:val="baseline"/>
              </w:rPr>
              <w:t>满意度：教师、学生使用满意度 ≥ 96％</w:t>
            </w:r>
          </w:p>
        </w:tc>
      </w:tr>
    </w:tbl>
    <w:p w14:paraId="2906B981">
      <w:pPr>
        <w:tabs>
          <w:tab w:val="center" w:pos="4475"/>
        </w:tabs>
        <w:spacing w:line="560" w:lineRule="exact"/>
        <w:ind w:firstLine="0"/>
        <w:rPr>
          <w:rFonts w:hint="default" w:ascii="黑体" w:eastAsia="黑体"/>
          <w:szCs w:val="32"/>
          <w:lang w:val="en-US" w:eastAsia="zh-CN"/>
        </w:rPr>
      </w:pPr>
    </w:p>
    <w:p w14:paraId="420857B6">
      <w:pPr>
        <w:tabs>
          <w:tab w:val="center" w:pos="4475"/>
        </w:tabs>
        <w:spacing w:line="560" w:lineRule="exact"/>
        <w:ind w:firstLine="645"/>
        <w:rPr>
          <w:rFonts w:hint="eastAsia" w:ascii="黑体" w:eastAsia="黑体"/>
          <w:szCs w:val="32"/>
        </w:rPr>
      </w:pPr>
      <w:r>
        <w:rPr>
          <w:rFonts w:hint="eastAsia" w:ascii="黑体" w:eastAsia="黑体"/>
          <w:szCs w:val="32"/>
        </w:rPr>
        <w:t>第三部分：名词解释</w:t>
      </w:r>
    </w:p>
    <w:p w14:paraId="750F11CD">
      <w:pPr>
        <w:tabs>
          <w:tab w:val="center" w:pos="4475"/>
        </w:tabs>
        <w:spacing w:line="600" w:lineRule="exact"/>
        <w:ind w:firstLine="645"/>
        <w:rPr>
          <w:rFonts w:hint="eastAsia" w:asciiTheme="minorEastAsia" w:hAnsiTheme="minorEastAsia" w:eastAsiaTheme="minorEastAsia" w:cstheme="minorEastAsia"/>
          <w:color w:val="auto"/>
          <w:kern w:val="0"/>
          <w:sz w:val="30"/>
          <w:szCs w:val="30"/>
          <w:lang w:val="en-US" w:eastAsia="zh-CN" w:bidi="ar-SA"/>
        </w:rPr>
      </w:pPr>
      <w:r>
        <w:rPr>
          <w:rFonts w:hint="eastAsia" w:asciiTheme="minorEastAsia" w:hAnsiTheme="minorEastAsia" w:eastAsiaTheme="minorEastAsia" w:cstheme="minorEastAsia"/>
          <w:color w:val="auto"/>
          <w:kern w:val="0"/>
          <w:sz w:val="30"/>
          <w:szCs w:val="30"/>
          <w:lang w:val="en-US" w:eastAsia="zh-CN" w:bidi="ar-SA"/>
        </w:rPr>
        <w:t xml:space="preserve">一、财政拨款收入：指自治区财政部门当年拨付的资金。 </w:t>
      </w:r>
    </w:p>
    <w:p w14:paraId="371ECCA5">
      <w:pPr>
        <w:tabs>
          <w:tab w:val="center" w:pos="4475"/>
        </w:tabs>
        <w:spacing w:line="600" w:lineRule="exact"/>
        <w:ind w:firstLine="645"/>
        <w:rPr>
          <w:rFonts w:hint="eastAsia" w:asciiTheme="minorEastAsia" w:hAnsiTheme="minorEastAsia" w:eastAsiaTheme="minorEastAsia" w:cstheme="minorEastAsia"/>
          <w:color w:val="auto"/>
          <w:kern w:val="0"/>
          <w:sz w:val="30"/>
          <w:szCs w:val="30"/>
          <w:lang w:val="en-US" w:eastAsia="zh-CN" w:bidi="ar-SA"/>
        </w:rPr>
      </w:pPr>
      <w:r>
        <w:rPr>
          <w:rFonts w:hint="eastAsia" w:asciiTheme="minorEastAsia" w:hAnsiTheme="minorEastAsia" w:eastAsiaTheme="minorEastAsia" w:cstheme="minorEastAsia"/>
          <w:color w:val="auto"/>
          <w:kern w:val="0"/>
          <w:sz w:val="30"/>
          <w:szCs w:val="30"/>
          <w:lang w:val="en-US" w:eastAsia="zh-CN" w:bidi="ar-SA"/>
        </w:rPr>
        <w:t>二、事业收入：指事业单位开展专业业务活动及辅助活动所取得的收入。</w:t>
      </w:r>
    </w:p>
    <w:p w14:paraId="285AEC2D">
      <w:pPr>
        <w:tabs>
          <w:tab w:val="center" w:pos="4475"/>
        </w:tabs>
        <w:spacing w:line="600" w:lineRule="exact"/>
        <w:ind w:firstLine="645"/>
        <w:rPr>
          <w:rFonts w:hint="eastAsia" w:asciiTheme="minorEastAsia" w:hAnsiTheme="minorEastAsia" w:eastAsiaTheme="minorEastAsia" w:cstheme="minorEastAsia"/>
          <w:color w:val="auto"/>
          <w:kern w:val="0"/>
          <w:sz w:val="30"/>
          <w:szCs w:val="30"/>
          <w:lang w:val="en-US" w:eastAsia="zh-CN" w:bidi="ar-SA"/>
        </w:rPr>
      </w:pPr>
      <w:r>
        <w:rPr>
          <w:rFonts w:hint="eastAsia" w:asciiTheme="minorEastAsia" w:hAnsiTheme="minorEastAsia" w:eastAsiaTheme="minorEastAsia" w:cstheme="minorEastAsia"/>
          <w:color w:val="auto"/>
          <w:kern w:val="0"/>
          <w:sz w:val="30"/>
          <w:szCs w:val="30"/>
          <w:lang w:val="en-US" w:eastAsia="zh-CN" w:bidi="ar-SA"/>
        </w:rPr>
        <w:t>三、经营收入：指事业单位在专业业务活动及其辅助活动之外开展非独立核算经营活动取得的收入。</w:t>
      </w:r>
    </w:p>
    <w:p w14:paraId="37479922">
      <w:pPr>
        <w:tabs>
          <w:tab w:val="center" w:pos="4475"/>
        </w:tabs>
        <w:spacing w:line="600" w:lineRule="exact"/>
        <w:ind w:firstLine="645"/>
        <w:rPr>
          <w:rFonts w:hint="eastAsia" w:asciiTheme="minorEastAsia" w:hAnsiTheme="minorEastAsia" w:eastAsiaTheme="minorEastAsia" w:cstheme="minorEastAsia"/>
          <w:color w:val="auto"/>
          <w:kern w:val="0"/>
          <w:sz w:val="30"/>
          <w:szCs w:val="30"/>
          <w:lang w:val="en-US" w:eastAsia="zh-CN" w:bidi="ar-SA"/>
        </w:rPr>
      </w:pPr>
      <w:r>
        <w:rPr>
          <w:rFonts w:hint="eastAsia" w:asciiTheme="minorEastAsia" w:hAnsiTheme="minorEastAsia" w:eastAsiaTheme="minorEastAsia" w:cstheme="minorEastAsia"/>
          <w:color w:val="auto"/>
          <w:kern w:val="0"/>
          <w:sz w:val="30"/>
          <w:szCs w:val="30"/>
          <w:lang w:val="en-US" w:eastAsia="zh-CN" w:bidi="ar-SA"/>
        </w:rPr>
        <w:t>四、其他收入：指除上述“财政拨款收入”“事业收入”“经营收入”等以外的收入。</w:t>
      </w:r>
    </w:p>
    <w:p w14:paraId="2885A44C">
      <w:pPr>
        <w:tabs>
          <w:tab w:val="center" w:pos="4475"/>
        </w:tabs>
        <w:spacing w:line="600" w:lineRule="exact"/>
        <w:ind w:firstLine="645"/>
        <w:rPr>
          <w:rFonts w:hint="eastAsia" w:asciiTheme="minorEastAsia" w:hAnsiTheme="minorEastAsia" w:eastAsiaTheme="minorEastAsia" w:cstheme="minorEastAsia"/>
          <w:color w:val="auto"/>
          <w:kern w:val="0"/>
          <w:sz w:val="30"/>
          <w:szCs w:val="30"/>
          <w:lang w:val="en-US" w:eastAsia="zh-CN" w:bidi="ar-SA"/>
        </w:rPr>
      </w:pPr>
      <w:r>
        <w:rPr>
          <w:rFonts w:hint="eastAsia" w:asciiTheme="minorEastAsia" w:hAnsiTheme="minorEastAsia" w:eastAsiaTheme="minorEastAsia" w:cstheme="minorEastAsia"/>
          <w:color w:val="auto"/>
          <w:kern w:val="0"/>
          <w:sz w:val="30"/>
          <w:szCs w:val="30"/>
          <w:lang w:val="en-US" w:eastAsia="zh-CN" w:bidi="ar-SA"/>
        </w:rPr>
        <w:t xml:space="preserve">五、基本支出：指为保障机构正常运转、完成日常工作任务而发生的人员支出和公用支出。 </w:t>
      </w:r>
    </w:p>
    <w:p w14:paraId="38F9687D">
      <w:pPr>
        <w:tabs>
          <w:tab w:val="center" w:pos="4475"/>
        </w:tabs>
        <w:spacing w:line="600" w:lineRule="exact"/>
        <w:ind w:firstLine="645"/>
        <w:rPr>
          <w:rFonts w:hint="eastAsia" w:asciiTheme="minorEastAsia" w:hAnsiTheme="minorEastAsia" w:eastAsiaTheme="minorEastAsia" w:cstheme="minorEastAsia"/>
          <w:color w:val="auto"/>
          <w:kern w:val="0"/>
          <w:sz w:val="30"/>
          <w:szCs w:val="30"/>
          <w:lang w:val="en-US" w:eastAsia="zh-CN" w:bidi="ar-SA"/>
        </w:rPr>
      </w:pPr>
      <w:r>
        <w:rPr>
          <w:rFonts w:hint="eastAsia" w:asciiTheme="minorEastAsia" w:hAnsiTheme="minorEastAsia" w:eastAsiaTheme="minorEastAsia" w:cstheme="minorEastAsia"/>
          <w:color w:val="auto"/>
          <w:kern w:val="0"/>
          <w:sz w:val="30"/>
          <w:szCs w:val="30"/>
          <w:lang w:val="en-US" w:eastAsia="zh-CN" w:bidi="ar-SA"/>
        </w:rPr>
        <w:t xml:space="preserve">六、项目支出：指在基本支出之外为完成特定行政任务和事业发展目标所发生的支出。 </w:t>
      </w:r>
    </w:p>
    <w:p w14:paraId="4F5939FF">
      <w:pPr>
        <w:tabs>
          <w:tab w:val="center" w:pos="4475"/>
        </w:tabs>
        <w:spacing w:line="600" w:lineRule="exact"/>
        <w:ind w:firstLine="645"/>
        <w:rPr>
          <w:rFonts w:hint="eastAsia" w:asciiTheme="minorEastAsia" w:hAnsiTheme="minorEastAsia" w:eastAsiaTheme="minorEastAsia" w:cstheme="minorEastAsia"/>
          <w:color w:val="auto"/>
          <w:kern w:val="0"/>
          <w:sz w:val="30"/>
          <w:szCs w:val="30"/>
          <w:lang w:val="en-US" w:eastAsia="zh-CN" w:bidi="ar-SA"/>
        </w:rPr>
      </w:pPr>
      <w:r>
        <w:rPr>
          <w:rFonts w:hint="eastAsia" w:asciiTheme="minorEastAsia" w:hAnsiTheme="minorEastAsia" w:eastAsiaTheme="minorEastAsia" w:cstheme="minorEastAsia"/>
          <w:color w:val="auto"/>
          <w:kern w:val="0"/>
          <w:sz w:val="30"/>
          <w:szCs w:val="30"/>
          <w:lang w:val="en-US" w:eastAsia="zh-CN" w:bidi="ar-SA"/>
        </w:rPr>
        <w:t>七、经营支出：指事业单位在专业业务活动及其辅助活动之外开展非独立核算经营活动发生的支出。</w:t>
      </w:r>
    </w:p>
    <w:p w14:paraId="769D26C6">
      <w:pPr>
        <w:tabs>
          <w:tab w:val="center" w:pos="4475"/>
        </w:tabs>
        <w:spacing w:line="600" w:lineRule="exact"/>
        <w:ind w:firstLine="645"/>
        <w:rPr>
          <w:rFonts w:hint="eastAsia" w:asciiTheme="minorEastAsia" w:hAnsiTheme="minorEastAsia" w:eastAsiaTheme="minorEastAsia" w:cstheme="minorEastAsia"/>
          <w:color w:val="auto"/>
          <w:kern w:val="0"/>
          <w:sz w:val="30"/>
          <w:szCs w:val="30"/>
          <w:lang w:val="en-US" w:eastAsia="zh-CN" w:bidi="ar-SA"/>
        </w:rPr>
      </w:pPr>
      <w:r>
        <w:rPr>
          <w:rFonts w:hint="eastAsia" w:asciiTheme="minorEastAsia" w:hAnsiTheme="minorEastAsia" w:eastAsiaTheme="minorEastAsia" w:cstheme="minorEastAsia"/>
          <w:color w:val="auto"/>
          <w:kern w:val="0"/>
          <w:sz w:val="30"/>
          <w:szCs w:val="30"/>
          <w:lang w:val="en-US" w:eastAsia="zh-CN" w:bidi="ar-SA"/>
        </w:rPr>
        <w:t xml:space="preserve">八、“三公”经费：纳入自治区财政预决算管理的“三公”经费，是指自治区本级各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 </w:t>
      </w:r>
    </w:p>
    <w:p w14:paraId="2D7C7307">
      <w:pPr>
        <w:tabs>
          <w:tab w:val="center" w:pos="4475"/>
        </w:tabs>
        <w:spacing w:line="600" w:lineRule="exact"/>
        <w:ind w:firstLine="645"/>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color w:val="auto"/>
          <w:kern w:val="0"/>
          <w:sz w:val="30"/>
          <w:szCs w:val="30"/>
          <w:lang w:val="en-US" w:eastAsia="zh-CN" w:bidi="ar-SA"/>
        </w:rPr>
        <w:t>九、事业单位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152595D">
      <w:pPr>
        <w:tabs>
          <w:tab w:val="center" w:pos="4475"/>
        </w:tabs>
        <w:snapToGrid w:val="0"/>
        <w:spacing w:line="560" w:lineRule="exact"/>
        <w:rPr>
          <w:rFonts w:hint="eastAsia" w:ascii="仿宋_GB2312"/>
        </w:rPr>
      </w:pPr>
    </w:p>
    <w:p w14:paraId="23BFF641">
      <w:pPr>
        <w:tabs>
          <w:tab w:val="center" w:pos="4475"/>
        </w:tabs>
        <w:spacing w:line="560" w:lineRule="exact"/>
        <w:ind w:firstLine="645"/>
        <w:rPr>
          <w:rFonts w:hint="eastAsia" w:ascii="黑体" w:eastAsia="黑体"/>
          <w:szCs w:val="32"/>
        </w:rPr>
      </w:pPr>
      <w:r>
        <w:rPr>
          <w:rFonts w:hint="eastAsia" w:ascii="黑体" w:eastAsia="黑体"/>
          <w:szCs w:val="32"/>
        </w:rPr>
        <w:t>第四部分：</w:t>
      </w:r>
      <w:r>
        <w:rPr>
          <w:rFonts w:hint="eastAsia" w:ascii="黑体" w:hAnsi="宋体" w:eastAsia="黑体"/>
          <w:szCs w:val="32"/>
          <w:lang w:val="en-US" w:eastAsia="zh-CN"/>
        </w:rPr>
        <w:t>广西动力技工学校</w:t>
      </w:r>
      <w:r>
        <w:rPr>
          <w:rFonts w:hint="eastAsia" w:ascii="黑体" w:hAnsi="宋体" w:eastAsia="黑体"/>
          <w:szCs w:val="32"/>
        </w:rPr>
        <w:t>202</w:t>
      </w:r>
      <w:r>
        <w:rPr>
          <w:rFonts w:hint="eastAsia" w:ascii="黑体" w:hAnsi="宋体" w:eastAsia="黑体"/>
          <w:szCs w:val="32"/>
          <w:lang w:val="en-US" w:eastAsia="zh-CN"/>
        </w:rPr>
        <w:t>5</w:t>
      </w:r>
      <w:r>
        <w:rPr>
          <w:rFonts w:hint="eastAsia" w:ascii="黑体" w:hAnsi="宋体" w:eastAsia="黑体"/>
          <w:szCs w:val="32"/>
        </w:rPr>
        <w:t>年</w:t>
      </w:r>
      <w:r>
        <w:rPr>
          <w:rFonts w:hint="eastAsia" w:ascii="黑体" w:hAnsi="宋体" w:eastAsia="黑体"/>
          <w:szCs w:val="32"/>
          <w:lang w:val="en-US" w:eastAsia="zh-CN"/>
        </w:rPr>
        <w:t>单位</w:t>
      </w:r>
      <w:r>
        <w:rPr>
          <w:rFonts w:hint="eastAsia" w:ascii="黑体" w:eastAsia="黑体"/>
          <w:szCs w:val="32"/>
        </w:rPr>
        <w:t>预算公开报表（详见附件1）。</w:t>
      </w:r>
    </w:p>
    <w:p w14:paraId="54B17F4F">
      <w:pPr>
        <w:tabs>
          <w:tab w:val="center" w:pos="4475"/>
        </w:tabs>
        <w:spacing w:line="560" w:lineRule="exact"/>
        <w:ind w:firstLine="645"/>
        <w:rPr>
          <w:rFonts w:hint="eastAsia" w:ascii="仿宋_GB2312" w:hAnsi="宋体"/>
          <w:szCs w:val="32"/>
          <w:highlight w:val="none"/>
          <w:u w:val="none"/>
          <w:lang w:eastAsia="zh-CN"/>
        </w:rPr>
      </w:pPr>
      <w:r>
        <w:rPr>
          <w:rFonts w:hint="eastAsia" w:ascii="仿宋_GB2312" w:hAnsi="宋体"/>
          <w:szCs w:val="32"/>
          <w:highlight w:val="none"/>
          <w:u w:val="none"/>
          <w:lang w:eastAsia="zh-CN"/>
        </w:rPr>
        <w:t>表一：单位收支总体情况表</w:t>
      </w:r>
    </w:p>
    <w:p w14:paraId="456C9F86">
      <w:pPr>
        <w:tabs>
          <w:tab w:val="center" w:pos="4475"/>
        </w:tabs>
        <w:spacing w:line="560" w:lineRule="exact"/>
        <w:ind w:firstLine="645"/>
        <w:rPr>
          <w:rFonts w:hint="eastAsia" w:ascii="仿宋_GB2312" w:hAnsi="宋体"/>
          <w:szCs w:val="32"/>
          <w:highlight w:val="none"/>
          <w:u w:val="none"/>
          <w:lang w:eastAsia="zh-CN"/>
        </w:rPr>
      </w:pPr>
      <w:r>
        <w:rPr>
          <w:rFonts w:hint="eastAsia" w:ascii="仿宋_GB2312" w:hAnsi="宋体"/>
          <w:szCs w:val="32"/>
          <w:highlight w:val="none"/>
          <w:u w:val="none"/>
          <w:lang w:eastAsia="zh-CN"/>
        </w:rPr>
        <w:t>表二：单位收入总体情况表</w:t>
      </w:r>
    </w:p>
    <w:p w14:paraId="2619671D">
      <w:pPr>
        <w:tabs>
          <w:tab w:val="center" w:pos="4475"/>
        </w:tabs>
        <w:spacing w:line="560" w:lineRule="exact"/>
        <w:ind w:firstLine="645"/>
        <w:rPr>
          <w:rFonts w:hint="eastAsia" w:ascii="仿宋_GB2312" w:hAnsi="宋体"/>
          <w:szCs w:val="32"/>
          <w:highlight w:val="none"/>
          <w:u w:val="none"/>
          <w:lang w:eastAsia="zh-CN"/>
        </w:rPr>
      </w:pPr>
      <w:r>
        <w:rPr>
          <w:rFonts w:hint="eastAsia" w:ascii="仿宋_GB2312" w:hAnsi="宋体"/>
          <w:szCs w:val="32"/>
          <w:highlight w:val="none"/>
          <w:u w:val="none"/>
          <w:lang w:eastAsia="zh-CN"/>
        </w:rPr>
        <w:t>表三：单位支出总体情况表</w:t>
      </w:r>
    </w:p>
    <w:p w14:paraId="747B14E0">
      <w:pPr>
        <w:tabs>
          <w:tab w:val="center" w:pos="4475"/>
        </w:tabs>
        <w:spacing w:line="560" w:lineRule="exact"/>
        <w:ind w:firstLine="645"/>
        <w:rPr>
          <w:rFonts w:hint="eastAsia" w:ascii="仿宋_GB2312" w:hAnsi="宋体"/>
          <w:szCs w:val="32"/>
          <w:highlight w:val="none"/>
          <w:u w:val="none"/>
          <w:lang w:eastAsia="zh-CN"/>
        </w:rPr>
      </w:pPr>
      <w:r>
        <w:rPr>
          <w:rFonts w:hint="eastAsia" w:ascii="仿宋_GB2312" w:hAnsi="宋体"/>
          <w:szCs w:val="32"/>
          <w:highlight w:val="none"/>
          <w:u w:val="none"/>
          <w:lang w:eastAsia="zh-CN"/>
        </w:rPr>
        <w:t>表四：财政拨款收支总体情况表</w:t>
      </w:r>
    </w:p>
    <w:p w14:paraId="2E9E0DE7">
      <w:pPr>
        <w:tabs>
          <w:tab w:val="center" w:pos="4475"/>
        </w:tabs>
        <w:spacing w:line="560" w:lineRule="exact"/>
        <w:ind w:firstLine="645"/>
        <w:rPr>
          <w:rFonts w:hint="eastAsia" w:ascii="仿宋_GB2312" w:hAnsi="宋体"/>
          <w:szCs w:val="32"/>
          <w:highlight w:val="none"/>
          <w:u w:val="none"/>
          <w:lang w:eastAsia="zh-CN"/>
        </w:rPr>
      </w:pPr>
      <w:r>
        <w:rPr>
          <w:rFonts w:hint="eastAsia" w:ascii="仿宋_GB2312" w:hAnsi="宋体"/>
          <w:szCs w:val="32"/>
          <w:highlight w:val="none"/>
          <w:u w:val="none"/>
          <w:lang w:eastAsia="zh-CN"/>
        </w:rPr>
        <w:t>表五：一般公共预算支出情况表</w:t>
      </w:r>
    </w:p>
    <w:p w14:paraId="63443734">
      <w:pPr>
        <w:tabs>
          <w:tab w:val="center" w:pos="4475"/>
        </w:tabs>
        <w:spacing w:line="560" w:lineRule="exact"/>
        <w:ind w:firstLine="645"/>
        <w:rPr>
          <w:rFonts w:hint="eastAsia" w:ascii="仿宋_GB2312" w:hAnsi="宋体"/>
          <w:szCs w:val="32"/>
          <w:highlight w:val="none"/>
          <w:u w:val="none"/>
          <w:lang w:eastAsia="zh-CN"/>
        </w:rPr>
      </w:pPr>
      <w:r>
        <w:rPr>
          <w:rFonts w:hint="eastAsia" w:ascii="仿宋_GB2312" w:hAnsi="宋体"/>
          <w:szCs w:val="32"/>
          <w:highlight w:val="none"/>
          <w:u w:val="none"/>
          <w:lang w:eastAsia="zh-CN"/>
        </w:rPr>
        <w:t>表六：一般公共预算基本支出情况表</w:t>
      </w:r>
    </w:p>
    <w:p w14:paraId="5E1F8851">
      <w:pPr>
        <w:tabs>
          <w:tab w:val="center" w:pos="4475"/>
        </w:tabs>
        <w:spacing w:line="560" w:lineRule="exact"/>
        <w:ind w:firstLine="645"/>
        <w:rPr>
          <w:rFonts w:hint="eastAsia" w:ascii="仿宋_GB2312" w:hAnsi="宋体"/>
          <w:szCs w:val="32"/>
          <w:highlight w:val="none"/>
          <w:u w:val="none"/>
          <w:lang w:eastAsia="zh-CN"/>
        </w:rPr>
      </w:pPr>
      <w:r>
        <w:rPr>
          <w:rFonts w:hint="eastAsia" w:ascii="仿宋_GB2312" w:hAnsi="宋体"/>
          <w:szCs w:val="32"/>
          <w:highlight w:val="none"/>
          <w:u w:val="none"/>
          <w:lang w:eastAsia="zh-CN"/>
        </w:rPr>
        <w:t>表七：财政拨款“三公”经费、会议费和培训费支出情况表</w:t>
      </w:r>
    </w:p>
    <w:p w14:paraId="480EA4FF">
      <w:pPr>
        <w:tabs>
          <w:tab w:val="center" w:pos="4475"/>
        </w:tabs>
        <w:spacing w:line="560" w:lineRule="exact"/>
        <w:ind w:firstLine="645"/>
        <w:rPr>
          <w:rFonts w:hint="eastAsia" w:ascii="仿宋_GB2312" w:hAnsi="宋体"/>
          <w:szCs w:val="32"/>
          <w:highlight w:val="none"/>
          <w:u w:val="none"/>
          <w:lang w:eastAsia="zh-CN"/>
        </w:rPr>
      </w:pPr>
      <w:r>
        <w:rPr>
          <w:rFonts w:hint="eastAsia" w:ascii="仿宋_GB2312" w:hAnsi="宋体"/>
          <w:szCs w:val="32"/>
          <w:highlight w:val="none"/>
          <w:u w:val="none"/>
          <w:lang w:eastAsia="zh-CN"/>
        </w:rPr>
        <w:t>表八：政府性基金预算支出情况表</w:t>
      </w:r>
    </w:p>
    <w:p w14:paraId="385D4FF2">
      <w:pPr>
        <w:tabs>
          <w:tab w:val="center" w:pos="4475"/>
        </w:tabs>
        <w:spacing w:line="560" w:lineRule="exact"/>
        <w:ind w:firstLine="645"/>
        <w:rPr>
          <w:rFonts w:hint="eastAsia" w:ascii="仿宋_GB2312" w:hAnsi="宋体"/>
          <w:szCs w:val="32"/>
          <w:highlight w:val="none"/>
          <w:u w:val="none"/>
          <w:lang w:eastAsia="zh-CN"/>
        </w:rPr>
      </w:pPr>
      <w:r>
        <w:rPr>
          <w:rFonts w:hint="eastAsia" w:ascii="仿宋_GB2312" w:hAnsi="宋体"/>
          <w:szCs w:val="32"/>
          <w:highlight w:val="none"/>
          <w:u w:val="none"/>
          <w:lang w:eastAsia="zh-CN"/>
        </w:rPr>
        <w:t>表九：国有资本经营预算支出情况表</w:t>
      </w:r>
    </w:p>
    <w:p w14:paraId="258025A9">
      <w:pPr>
        <w:tabs>
          <w:tab w:val="center" w:pos="4475"/>
        </w:tabs>
        <w:spacing w:line="560" w:lineRule="exact"/>
        <w:ind w:firstLine="645"/>
        <w:rPr>
          <w:rFonts w:hint="eastAsia" w:ascii="仿宋_GB2312" w:hAnsi="宋体"/>
          <w:szCs w:val="32"/>
          <w:highlight w:val="none"/>
          <w:u w:val="none"/>
          <w:lang w:eastAsia="zh-CN"/>
        </w:rPr>
      </w:pPr>
      <w:r>
        <w:rPr>
          <w:rFonts w:hint="eastAsia" w:ascii="仿宋_GB2312" w:hAnsi="宋体"/>
          <w:szCs w:val="32"/>
          <w:highlight w:val="none"/>
          <w:u w:val="none"/>
          <w:lang w:eastAsia="zh-CN"/>
        </w:rPr>
        <w:t>表十：自治区本级项目绩效目标公开表</w:t>
      </w:r>
    </w:p>
    <w:p w14:paraId="41EC247B">
      <w:pPr>
        <w:tabs>
          <w:tab w:val="center" w:pos="4475"/>
        </w:tabs>
        <w:spacing w:line="560" w:lineRule="exact"/>
        <w:ind w:firstLine="645"/>
        <w:rPr>
          <w:rFonts w:hint="eastAsia" w:ascii="仿宋_GB2312" w:hAnsi="宋体"/>
          <w:szCs w:val="32"/>
          <w:highlight w:val="none"/>
          <w:u w:val="none"/>
          <w:lang w:eastAsia="zh-CN"/>
        </w:rPr>
      </w:pPr>
      <w:r>
        <w:rPr>
          <w:rFonts w:hint="eastAsia" w:ascii="仿宋_GB2312" w:hAnsi="宋体"/>
          <w:szCs w:val="32"/>
          <w:highlight w:val="none"/>
          <w:u w:val="none"/>
          <w:lang w:eastAsia="zh-CN"/>
        </w:rPr>
        <w:t>表十一：对下转移支付项目绩效目标公开表</w:t>
      </w:r>
    </w:p>
    <w:p w14:paraId="24DAC1B1">
      <w:pPr>
        <w:tabs>
          <w:tab w:val="center" w:pos="4475"/>
        </w:tabs>
        <w:spacing w:line="560" w:lineRule="exact"/>
        <w:ind w:firstLine="645"/>
        <w:rPr>
          <w:rFonts w:hint="eastAsia" w:ascii="仿宋_GB2312" w:hAnsi="宋体"/>
          <w:szCs w:val="32"/>
        </w:rPr>
      </w:pPr>
    </w:p>
    <w:p w14:paraId="70C19DC7"/>
    <w:sectPr>
      <w:footerReference r:id="rId3" w:type="default"/>
      <w:footerReference r:id="rId4" w:type="even"/>
      <w:pgSz w:w="11906" w:h="16838"/>
      <w:pgMar w:top="2098" w:right="1474" w:bottom="1984" w:left="1587" w:header="851" w:footer="992" w:gutter="0"/>
      <w:pgNumType w:fmt="decimal" w:start="18"/>
      <w:cols w:space="720" w:num="1"/>
      <w:docGrid w:linePitch="634" w:charSpace="-21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2000000000000000000"/>
    <w:charset w:val="86"/>
    <w:family w:val="auto"/>
    <w:pitch w:val="default"/>
    <w:sig w:usb0="00000000" w:usb1="00000000" w:usb2="00000012" w:usb3="00000000" w:csb0="00040001" w:csb1="00000000"/>
  </w:font>
  <w:font w:name="Arial Unicode MS">
    <w:panose1 w:val="020B0604020202020204"/>
    <w:charset w:val="86"/>
    <w:family w:val="auto"/>
    <w:pitch w:val="default"/>
    <w:sig w:usb0="FFFFFFFF" w:usb1="E9FFFFFF" w:usb2="0000003F" w:usb3="00000000" w:csb0="603F01FF" w:csb1="FFFF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B9920">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D6135F0">
                          <w:pPr>
                            <w:pStyle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eastAsia="zh-CN"/>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5D6135F0">
                    <w:pPr>
                      <w:pStyle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eastAsia="zh-CN"/>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F9B63">
    <w:pPr>
      <w:pStyle w:val="2"/>
      <w:framePr w:wrap="around" w:vAnchor="text" w:hAnchor="margin" w:xAlign="center" w:y="1"/>
      <w:rPr>
        <w:rStyle w:val="6"/>
      </w:rPr>
    </w:pPr>
    <w:r>
      <w:rPr>
        <w:rStyle w:val="6"/>
        <w:sz w:val="32"/>
        <w:szCs w:val="24"/>
      </w:rPr>
      <w:fldChar w:fldCharType="begin"/>
    </w:r>
    <w:r>
      <w:rPr>
        <w:rStyle w:val="6"/>
        <w:sz w:val="32"/>
        <w:szCs w:val="24"/>
      </w:rPr>
      <w:instrText xml:space="preserve">PAGE  </w:instrText>
    </w:r>
    <w:r>
      <w:rPr>
        <w:rStyle w:val="6"/>
        <w:sz w:val="32"/>
        <w:szCs w:val="24"/>
      </w:rPr>
      <w:fldChar w:fldCharType="end"/>
    </w:r>
  </w:p>
  <w:p w14:paraId="66BA1F61">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E2359"/>
    <w:rsid w:val="00844285"/>
    <w:rsid w:val="011846E5"/>
    <w:rsid w:val="0123584C"/>
    <w:rsid w:val="0190047B"/>
    <w:rsid w:val="02557C87"/>
    <w:rsid w:val="02B81FC4"/>
    <w:rsid w:val="03443858"/>
    <w:rsid w:val="04294F27"/>
    <w:rsid w:val="04455AD9"/>
    <w:rsid w:val="044C142D"/>
    <w:rsid w:val="047F723D"/>
    <w:rsid w:val="04CD61FB"/>
    <w:rsid w:val="05BE78F1"/>
    <w:rsid w:val="05E27A84"/>
    <w:rsid w:val="063B3638"/>
    <w:rsid w:val="068A73A9"/>
    <w:rsid w:val="06FD269B"/>
    <w:rsid w:val="07245E7A"/>
    <w:rsid w:val="073D6AC7"/>
    <w:rsid w:val="075A189C"/>
    <w:rsid w:val="075F6EB2"/>
    <w:rsid w:val="08C96CD9"/>
    <w:rsid w:val="08E83DF2"/>
    <w:rsid w:val="08EB49CE"/>
    <w:rsid w:val="08FA1588"/>
    <w:rsid w:val="08FC3269"/>
    <w:rsid w:val="091D19C9"/>
    <w:rsid w:val="09491BC8"/>
    <w:rsid w:val="095C18FB"/>
    <w:rsid w:val="09B72FD5"/>
    <w:rsid w:val="0A8D3D36"/>
    <w:rsid w:val="0B5903FA"/>
    <w:rsid w:val="0C9D4705"/>
    <w:rsid w:val="0D1A32D4"/>
    <w:rsid w:val="0D29243C"/>
    <w:rsid w:val="0D4728C2"/>
    <w:rsid w:val="0D8633EB"/>
    <w:rsid w:val="0D9C051F"/>
    <w:rsid w:val="0DDF6F9F"/>
    <w:rsid w:val="0E303356"/>
    <w:rsid w:val="0EB9334C"/>
    <w:rsid w:val="0EFD592E"/>
    <w:rsid w:val="0FEB5787"/>
    <w:rsid w:val="107514F4"/>
    <w:rsid w:val="114A472F"/>
    <w:rsid w:val="11C51729"/>
    <w:rsid w:val="12BB769F"/>
    <w:rsid w:val="12F157AA"/>
    <w:rsid w:val="13631AD8"/>
    <w:rsid w:val="13B50586"/>
    <w:rsid w:val="14515DD5"/>
    <w:rsid w:val="14DF1632"/>
    <w:rsid w:val="150712B5"/>
    <w:rsid w:val="15655FB1"/>
    <w:rsid w:val="15B50D11"/>
    <w:rsid w:val="16FE3FF2"/>
    <w:rsid w:val="180E295A"/>
    <w:rsid w:val="19D13C3F"/>
    <w:rsid w:val="1A0A5C1B"/>
    <w:rsid w:val="1A324E27"/>
    <w:rsid w:val="1A8567D8"/>
    <w:rsid w:val="1B34092A"/>
    <w:rsid w:val="1BCD48DA"/>
    <w:rsid w:val="1BD80B05"/>
    <w:rsid w:val="1CF2284B"/>
    <w:rsid w:val="1D4666F2"/>
    <w:rsid w:val="1D57445C"/>
    <w:rsid w:val="1D5C5F16"/>
    <w:rsid w:val="1DEA3522"/>
    <w:rsid w:val="1DF56E17"/>
    <w:rsid w:val="1DF83E91"/>
    <w:rsid w:val="1E6C03DB"/>
    <w:rsid w:val="1F2E38E2"/>
    <w:rsid w:val="1F486752"/>
    <w:rsid w:val="1F6E5484"/>
    <w:rsid w:val="1F941997"/>
    <w:rsid w:val="20142AD8"/>
    <w:rsid w:val="207B2B57"/>
    <w:rsid w:val="20E00C0C"/>
    <w:rsid w:val="23C30A9D"/>
    <w:rsid w:val="23CC7920"/>
    <w:rsid w:val="23D22A8E"/>
    <w:rsid w:val="24681644"/>
    <w:rsid w:val="252C08C4"/>
    <w:rsid w:val="259C15A5"/>
    <w:rsid w:val="26031625"/>
    <w:rsid w:val="26263565"/>
    <w:rsid w:val="26322018"/>
    <w:rsid w:val="27054F28"/>
    <w:rsid w:val="272F01F7"/>
    <w:rsid w:val="27873B8F"/>
    <w:rsid w:val="27A831CB"/>
    <w:rsid w:val="282633A8"/>
    <w:rsid w:val="2859377E"/>
    <w:rsid w:val="28A50CCB"/>
    <w:rsid w:val="2A1A518F"/>
    <w:rsid w:val="2A211E89"/>
    <w:rsid w:val="2A3F4BF5"/>
    <w:rsid w:val="2A427557"/>
    <w:rsid w:val="2A750617"/>
    <w:rsid w:val="2AA46ED6"/>
    <w:rsid w:val="2B0B4AD7"/>
    <w:rsid w:val="2B873045"/>
    <w:rsid w:val="2CC17B44"/>
    <w:rsid w:val="2CDD4252"/>
    <w:rsid w:val="2CFE33AA"/>
    <w:rsid w:val="2D35408E"/>
    <w:rsid w:val="2D684463"/>
    <w:rsid w:val="2D8D7A26"/>
    <w:rsid w:val="2D9A0B14"/>
    <w:rsid w:val="2E5D1AEE"/>
    <w:rsid w:val="2EA414CB"/>
    <w:rsid w:val="2EF1616F"/>
    <w:rsid w:val="2F776486"/>
    <w:rsid w:val="2FE70FA2"/>
    <w:rsid w:val="301B57BD"/>
    <w:rsid w:val="30676C54"/>
    <w:rsid w:val="30B874AF"/>
    <w:rsid w:val="30C245F1"/>
    <w:rsid w:val="30C64C4F"/>
    <w:rsid w:val="31C4105A"/>
    <w:rsid w:val="31F3224C"/>
    <w:rsid w:val="335F3C12"/>
    <w:rsid w:val="34A71D15"/>
    <w:rsid w:val="353C53A4"/>
    <w:rsid w:val="355157DD"/>
    <w:rsid w:val="357A2F85"/>
    <w:rsid w:val="35B2271F"/>
    <w:rsid w:val="35E022B4"/>
    <w:rsid w:val="35E054DE"/>
    <w:rsid w:val="360C62D3"/>
    <w:rsid w:val="362A49AB"/>
    <w:rsid w:val="369E0EF6"/>
    <w:rsid w:val="36FB00F6"/>
    <w:rsid w:val="37A10C9D"/>
    <w:rsid w:val="389C3213"/>
    <w:rsid w:val="38DE1A7D"/>
    <w:rsid w:val="391F53C4"/>
    <w:rsid w:val="3962620A"/>
    <w:rsid w:val="39697599"/>
    <w:rsid w:val="39B06F76"/>
    <w:rsid w:val="3A552D2E"/>
    <w:rsid w:val="3A6B10EF"/>
    <w:rsid w:val="3B1B0D67"/>
    <w:rsid w:val="3B7C7A57"/>
    <w:rsid w:val="3BEB698B"/>
    <w:rsid w:val="3BFC46F4"/>
    <w:rsid w:val="3C680688"/>
    <w:rsid w:val="3C7A1ABD"/>
    <w:rsid w:val="3D8652C6"/>
    <w:rsid w:val="3E043D34"/>
    <w:rsid w:val="3E5C147A"/>
    <w:rsid w:val="3EDC080D"/>
    <w:rsid w:val="3F0D0193"/>
    <w:rsid w:val="3F84512C"/>
    <w:rsid w:val="3F93536F"/>
    <w:rsid w:val="3FAC01DF"/>
    <w:rsid w:val="400E2C48"/>
    <w:rsid w:val="4013025E"/>
    <w:rsid w:val="410746CC"/>
    <w:rsid w:val="417E5BAB"/>
    <w:rsid w:val="41913B31"/>
    <w:rsid w:val="41DF2AEE"/>
    <w:rsid w:val="42981869"/>
    <w:rsid w:val="43E75C8A"/>
    <w:rsid w:val="4407714E"/>
    <w:rsid w:val="45060392"/>
    <w:rsid w:val="450D34CE"/>
    <w:rsid w:val="45C36283"/>
    <w:rsid w:val="45F96148"/>
    <w:rsid w:val="46BE7394"/>
    <w:rsid w:val="46C357B2"/>
    <w:rsid w:val="471F573B"/>
    <w:rsid w:val="47767A51"/>
    <w:rsid w:val="48474F49"/>
    <w:rsid w:val="48DF1625"/>
    <w:rsid w:val="4A4F4589"/>
    <w:rsid w:val="4A62606A"/>
    <w:rsid w:val="4A954692"/>
    <w:rsid w:val="4AC72371"/>
    <w:rsid w:val="4AE41175"/>
    <w:rsid w:val="4C102F69"/>
    <w:rsid w:val="4C8D3147"/>
    <w:rsid w:val="4CF60CEC"/>
    <w:rsid w:val="4D211181"/>
    <w:rsid w:val="4D73233C"/>
    <w:rsid w:val="4E5263F6"/>
    <w:rsid w:val="4F844CD5"/>
    <w:rsid w:val="508807F5"/>
    <w:rsid w:val="51E97071"/>
    <w:rsid w:val="52706D8F"/>
    <w:rsid w:val="527C1C93"/>
    <w:rsid w:val="52BF457A"/>
    <w:rsid w:val="52EF4B5B"/>
    <w:rsid w:val="53114AD1"/>
    <w:rsid w:val="533118FD"/>
    <w:rsid w:val="53D33B35"/>
    <w:rsid w:val="53DA4EC3"/>
    <w:rsid w:val="545A24A8"/>
    <w:rsid w:val="54770964"/>
    <w:rsid w:val="548C3B38"/>
    <w:rsid w:val="54EB3100"/>
    <w:rsid w:val="564725B8"/>
    <w:rsid w:val="56586573"/>
    <w:rsid w:val="56E16569"/>
    <w:rsid w:val="56EA2BD6"/>
    <w:rsid w:val="570F1328"/>
    <w:rsid w:val="571132F2"/>
    <w:rsid w:val="576F1DC6"/>
    <w:rsid w:val="57B27F05"/>
    <w:rsid w:val="57FB5D50"/>
    <w:rsid w:val="58D00F8B"/>
    <w:rsid w:val="595B2A45"/>
    <w:rsid w:val="598D4786"/>
    <w:rsid w:val="59981AA8"/>
    <w:rsid w:val="5B3F5F54"/>
    <w:rsid w:val="5B465534"/>
    <w:rsid w:val="5B8F47E5"/>
    <w:rsid w:val="5BBC1352"/>
    <w:rsid w:val="5BED775E"/>
    <w:rsid w:val="5BEF34D6"/>
    <w:rsid w:val="5C142F3C"/>
    <w:rsid w:val="5C553C81"/>
    <w:rsid w:val="5C7834CB"/>
    <w:rsid w:val="5CDC7EFE"/>
    <w:rsid w:val="5D052C7B"/>
    <w:rsid w:val="5DED1C97"/>
    <w:rsid w:val="5E483371"/>
    <w:rsid w:val="5E486592"/>
    <w:rsid w:val="5E93283E"/>
    <w:rsid w:val="5EDD1D0C"/>
    <w:rsid w:val="5F6146EB"/>
    <w:rsid w:val="5F7A57AC"/>
    <w:rsid w:val="5F8A29DB"/>
    <w:rsid w:val="5F997B4E"/>
    <w:rsid w:val="60326087"/>
    <w:rsid w:val="60831BF5"/>
    <w:rsid w:val="60B8658C"/>
    <w:rsid w:val="60E50BC9"/>
    <w:rsid w:val="61502C69"/>
    <w:rsid w:val="6166248C"/>
    <w:rsid w:val="61970898"/>
    <w:rsid w:val="61C55405"/>
    <w:rsid w:val="629923ED"/>
    <w:rsid w:val="64436AB5"/>
    <w:rsid w:val="645B3DFE"/>
    <w:rsid w:val="64D01601"/>
    <w:rsid w:val="652A2670"/>
    <w:rsid w:val="652E32C1"/>
    <w:rsid w:val="65BC6B1F"/>
    <w:rsid w:val="66187ACD"/>
    <w:rsid w:val="6626043C"/>
    <w:rsid w:val="673E6826"/>
    <w:rsid w:val="67762CFD"/>
    <w:rsid w:val="6784073A"/>
    <w:rsid w:val="67AE2497"/>
    <w:rsid w:val="67F81964"/>
    <w:rsid w:val="67FD51CC"/>
    <w:rsid w:val="6821296E"/>
    <w:rsid w:val="689E075E"/>
    <w:rsid w:val="68B1654A"/>
    <w:rsid w:val="68D20407"/>
    <w:rsid w:val="69AB1384"/>
    <w:rsid w:val="69F535FC"/>
    <w:rsid w:val="6AA27434"/>
    <w:rsid w:val="6AB57FE0"/>
    <w:rsid w:val="6B563571"/>
    <w:rsid w:val="6C64581A"/>
    <w:rsid w:val="6C7041BF"/>
    <w:rsid w:val="6DE50107"/>
    <w:rsid w:val="6FB1521A"/>
    <w:rsid w:val="705C661D"/>
    <w:rsid w:val="706B361B"/>
    <w:rsid w:val="707F2C23"/>
    <w:rsid w:val="70E4517B"/>
    <w:rsid w:val="71341C5F"/>
    <w:rsid w:val="71E01DE7"/>
    <w:rsid w:val="72563E57"/>
    <w:rsid w:val="726A16B0"/>
    <w:rsid w:val="72D66D46"/>
    <w:rsid w:val="72F01E97"/>
    <w:rsid w:val="73245D03"/>
    <w:rsid w:val="73467A28"/>
    <w:rsid w:val="735C1616"/>
    <w:rsid w:val="737A1DC7"/>
    <w:rsid w:val="73E86D31"/>
    <w:rsid w:val="746F2718"/>
    <w:rsid w:val="74A470FC"/>
    <w:rsid w:val="74D472B5"/>
    <w:rsid w:val="750A414A"/>
    <w:rsid w:val="75501031"/>
    <w:rsid w:val="75705230"/>
    <w:rsid w:val="75E63744"/>
    <w:rsid w:val="76684159"/>
    <w:rsid w:val="76D57A40"/>
    <w:rsid w:val="77F008AA"/>
    <w:rsid w:val="78571967"/>
    <w:rsid w:val="78C37D6C"/>
    <w:rsid w:val="799D236B"/>
    <w:rsid w:val="79D0629D"/>
    <w:rsid w:val="7A884DCA"/>
    <w:rsid w:val="7AC04563"/>
    <w:rsid w:val="7ACC2F08"/>
    <w:rsid w:val="7C5B09E8"/>
    <w:rsid w:val="7C635AEE"/>
    <w:rsid w:val="7CA103C5"/>
    <w:rsid w:val="7CC11DDE"/>
    <w:rsid w:val="7CDB7433"/>
    <w:rsid w:val="7E36397C"/>
    <w:rsid w:val="7EF63DE1"/>
    <w:rsid w:val="7F6776A3"/>
    <w:rsid w:val="7FA73F44"/>
    <w:rsid w:val="7FB126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qFormat/>
    <w:uiPriority w:val="0"/>
    <w:pPr>
      <w:widowControl w:val="0"/>
      <w:tabs>
        <w:tab w:val="center" w:pos="4153"/>
        <w:tab w:val="right" w:pos="8306"/>
      </w:tabs>
      <w:snapToGrid w:val="0"/>
      <w:jc w:val="left"/>
    </w:pPr>
    <w:rPr>
      <w:rFonts w:ascii="Times New Roman" w:hAnsi="Times New Roman" w:eastAsia="宋体" w:cs="Times New Roman"/>
      <w:kern w:val="2"/>
      <w:sz w:val="18"/>
      <w:szCs w:val="18"/>
      <w:lang w:val="en-US" w:eastAsia="zh-CN" w:bidi="ar-SA"/>
    </w:rPr>
  </w:style>
  <w:style w:type="table" w:styleId="4">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page number"/>
    <w:qFormat/>
    <w:uiPriority w:val="0"/>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3297</Words>
  <Characters>3716</Characters>
  <Lines>0</Lines>
  <Paragraphs>0</Paragraphs>
  <TotalTime>0</TotalTime>
  <ScaleCrop>false</ScaleCrop>
  <LinksUpToDate>false</LinksUpToDate>
  <CharactersWithSpaces>3721</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2025-01-23T05:35:00Z</dcterms:created>
  <dc:creator>Administrator</dc:creator>
  <cp:lastModifiedBy>天为谁香</cp:lastModifiedBy>
  <dcterms:modified xsi:type="dcterms:W3CDTF">2025-01-25T13:38:34Z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eyJoZGlkIjoiYTY0MWU3NDQ4OTA2YzZmY2ViMzBkNDBjY2UyZmE0MzIiLCJ1c2VySWQiOiIzMjY5MDQ2OTQifQ==</vt:lpwstr>
  </property>
  <property fmtid="{D5CDD505-2E9C-101B-9397-08002B2CF9AE}" pid="4" name="ICV">
    <vt:lpwstr>7A37668FA0994D78A1D6D670343641EF_12</vt:lpwstr>
  </property>
</Properties>
</file>